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1.33</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0"/>
        <w:ind w:left="567"/>
      </w:pPr>
      <w:r>
        <w:rPr>
          <w:b w:val="0"/>
          <w:i w:val="0"/>
        </w:rPr>
        <w:t>P-48. Nada sobre animais de companhia em acidente grave ou catástrofe (art. 25.º)</w:t>
      </w:r>
    </w:p>
    <w:p>
      <w:pPr>
        <w:spacing w:after="0"/>
        <w:ind w:left="567"/>
      </w:pPr>
      <w:r>
        <w:rPr>
          <w:b w:val="0"/>
          <w:i w:val="0"/>
        </w:rPr>
        <w:t>P-50.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P-45. A recolha por razões de bem-estar passa da DGAV para as câmaras e o destino para o médico veterinário municipal (art. 91.º)</w:t>
      </w:r>
    </w:p>
    <w:p>
      <w:pPr>
        <w:spacing w:after="0"/>
        <w:ind w:left="567"/>
      </w:pPr>
      <w:r>
        <w:rPr>
          <w:b w:val="0"/>
          <w:i w:val="0"/>
        </w:rPr>
        <w:t>P-37. Quem acolhe um animal errante pode ficar sem saída lícita (art. 94.º)</w:t>
      </w:r>
    </w:p>
    <w:p>
      <w:pPr>
        <w:spacing w:after="0"/>
        <w:ind w:left="567"/>
      </w:pPr>
      <w:r>
        <w:rPr>
          <w:b w:val="0"/>
          <w:i w:val="0"/>
        </w:rPr>
        <w:t>P-46.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P-53. Associação titular de cão perigoso: falta a regra da licença e a adoção fica entre duas normas contrárias (art. 110.º)</w:t>
      </w:r>
    </w:p>
    <w:p>
      <w:pPr>
        <w:spacing w:after="0"/>
        <w:ind w:left="567"/>
      </w:pPr>
      <w:r>
        <w:rPr>
          <w:b w:val="0"/>
          <w:i w:val="0"/>
        </w:rPr>
        <w:t>P-49. Duas vias para retirar a classificação de perigoso, sem ligação entre elas (art. 120.º)</w:t>
      </w:r>
    </w:p>
    <w:p>
      <w:pPr>
        <w:spacing w:after="40"/>
      </w:pPr>
    </w:p>
    <w:p>
      <w:pPr>
        <w:spacing w:after="40"/>
      </w:pPr>
      <w:r>
        <w:rPr>
          <w:b/>
          <w:i w:val="0"/>
        </w:rPr>
        <w:t>10. Capítulo XV. Medidas administrativas, fiscalização e contraordenações</w:t>
      </w:r>
    </w:p>
    <w:p>
      <w:pPr>
        <w:spacing w:after="0"/>
        <w:ind w:left="567"/>
      </w:pPr>
      <w:r>
        <w:rPr>
          <w:b w:val="0"/>
          <w:i w:val="0"/>
        </w:rPr>
        <w:t>P-52. O dever geral de colaboração de terceiros e a coima por recusa de informações não passam para o RGAC (art. 138.º)</w:t>
      </w:r>
    </w:p>
    <w:p>
      <w:pPr>
        <w:spacing w:after="0"/>
        <w:ind w:left="567"/>
      </w:pPr>
      <w:r>
        <w:rPr>
          <w:b w:val="0"/>
          <w:i w:val="0"/>
        </w:rPr>
        <w:t>P-47. A apreensão provisória serve só as contraordenações e admite devolver os animais ao local de origem (art. 139.º)</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0"/>
        <w:ind w:left="567"/>
      </w:pPr>
      <w:r>
        <w:rPr>
          <w:b w:val="0"/>
          <w:i w:val="0"/>
        </w:rPr>
        <w:t>P-51.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P-07. As portarias mantidas usam detentor no sentido antigo (art. 149.º)</w:t>
      </w:r>
    </w:p>
    <w:p>
      <w:pPr>
        <w:spacing w:after="0"/>
        <w:ind w:left="567"/>
      </w:pPr>
      <w:r>
        <w:rPr>
          <w:b w:val="0"/>
          <w:i w:val="0"/>
        </w:rPr>
        <w:t>P-43. A revogação total da Lei 92/95 apaga normas que não tratam de animais de companhia (art. 149.º)</w:t>
      </w:r>
    </w:p>
    <w:p>
      <w:pPr>
        <w:spacing w:after="0"/>
        <w:ind w:left="567"/>
      </w:pPr>
      <w:r>
        <w:rPr>
          <w:b w:val="0"/>
          <w:i w:val="0"/>
        </w:rPr>
        <w:t>P-44. O DL 74/2007 é ressalvado e revogado ao mesmo tempo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P-46, P-53,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P-48.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P-46).</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P-46</w:t>
            </w:r>
          </w:p>
        </w:tc>
      </w:tr>
    </w:tbl>
    <w:p/>
    <w:p>
      <w:pPr>
        <w:pStyle w:val="Heading2"/>
      </w:pPr>
      <w:r>
        <w:rPr>
          <w:i w:val="0"/>
          <w:color w:val="000000"/>
        </w:rPr>
        <w:t>P-50.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P-51).</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P-51, P-47, P-45, P-48</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P-45.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P-43)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 P-47, P-46</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pPr>
        <w:pStyle w:val="Heading2"/>
      </w:pPr>
      <w:r>
        <w:rPr>
          <w:i w:val="0"/>
          <w:color w:val="000000"/>
        </w:rPr>
        <w:t>P-46.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P-48, P-05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P-53.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w:t>
            </w:r>
          </w:p>
          <w:p>
            <w:pPr>
              <w:spacing w:after="60"/>
            </w:pPr>
            <w:r>
              <w:rPr>
                <w:b w:val="0"/>
                <w:sz w:val="20"/>
              </w:rPr>
              <w:t>art. 110.º, n.ºs 1 e 3</w:t>
            </w:r>
          </w:p>
          <w:p>
            <w:pPr>
              <w:spacing w:after="60"/>
            </w:pPr>
            <w:r>
              <w:rPr>
                <w:b w:val="0"/>
                <w:sz w:val="20"/>
              </w:rPr>
              <w:t>art. 81.º, n.ºs 2 e 3</w:t>
            </w:r>
          </w:p>
          <w:p>
            <w:pPr>
              <w:spacing w:after="60"/>
            </w:pPr>
            <w:r>
              <w:rPr>
                <w:b w:val="0"/>
                <w:sz w:val="20"/>
              </w:rPr>
              <w:t>art. 127.º, n.º 4</w:t>
            </w:r>
          </w:p>
          <w:p>
            <w:pPr>
              <w:spacing w:after="60"/>
            </w:pPr>
            <w:r>
              <w:rPr>
                <w:b w:val="0"/>
                <w:sz w:val="20"/>
              </w:rPr>
              <w:t>DL 315/2009, art. 3.º, al. f), art. 5.º, n.º 1, e art. 20.º, n.º 4</w:t>
            </w:r>
          </w:p>
          <w:p>
            <w:pPr>
              <w:spacing w:after="60"/>
            </w:pPr>
            <w:r>
              <w:rPr>
                <w:b w:val="0"/>
                <w:sz w:val="20"/>
              </w:rPr>
              <w:t>DL 82/2019, art. 9.º, n.º 5, e art. 27.º, n.ºs 1 e 3</w:t>
            </w:r>
          </w:p>
          <w:p>
            <w:pPr>
              <w:spacing w:after="60"/>
            </w:pPr>
            <w:r>
              <w:rPr>
                <w:b w:val="0"/>
                <w:sz w:val="20"/>
              </w:rPr>
              <w:t>Artigo principal: art. 110.º, Detenção de cães perigosos ou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P-08, P-49</w:t>
            </w:r>
          </w:p>
        </w:tc>
      </w:tr>
    </w:tbl>
    <w:p/>
    <w:p>
      <w:pPr>
        <w:pStyle w:val="Heading2"/>
      </w:pPr>
      <w:r>
        <w:rPr>
          <w:i w:val="0"/>
          <w:color w:val="000000"/>
        </w:rPr>
        <w:t>P-49.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P-52.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P-42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P-42).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w:t>
            </w:r>
          </w:p>
        </w:tc>
      </w:tr>
    </w:tbl>
    <w:p/>
    <w:p>
      <w:pPr>
        <w:pStyle w:val="Heading2"/>
      </w:pPr>
      <w:r>
        <w:rPr>
          <w:i w:val="0"/>
          <w:color w:val="000000"/>
        </w:rPr>
        <w:t>P-47.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P-46, P-42</w:t>
            </w:r>
          </w:p>
        </w:tc>
      </w:tr>
    </w:tbl>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P-06). Ponderar uma norma geral como a da Lei 92/95, art. 12.º, n.º 1, ou pelo menos coima expressa, com a gravidade que hoje tem no DL 276/2001 (art. 68.º, n.º 2, al. d)), para o art. 8.º, n.º 1 (morte sem motivo legítimo). Ver P-43.</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 P-43</w:t>
            </w:r>
          </w:p>
        </w:tc>
      </w:tr>
    </w:tbl>
    <w:p/>
    <w:p>
      <w:pPr>
        <w:pStyle w:val="Heading2"/>
      </w:pPr>
      <w:r>
        <w:rPr>
          <w:i w:val="0"/>
          <w:color w:val="000000"/>
        </w:rPr>
        <w:t>P-51.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P-50, P-47</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P-43.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P-42).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 P-06</w:t>
            </w:r>
          </w:p>
        </w:tc>
      </w:tr>
    </w:tbl>
    <w:p/>
    <w:p>
      <w:pPr>
        <w:pStyle w:val="Heading2"/>
      </w:pPr>
      <w:r>
        <w:rPr>
          <w:i w:val="0"/>
          <w:color w:val="000000"/>
        </w:rPr>
        <w:t>P-44.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4"/>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P-48</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P-50</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P-45</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P-46</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P-53</w:t>
            </w:r>
          </w:p>
        </w:tc>
        <w:tc>
          <w:tcPr>
            <w:tcW w:w="4309" w:type="dxa"/>
          </w:tcPr>
          <w:p>
            <w:pPr>
              <w:spacing w:after="60"/>
            </w:pPr>
            <w:r/>
            <w:r>
              <w:rPr>
                <w:b w:val="0"/>
                <w:sz w:val="20"/>
              </w:rPr>
              <w:t>Associação titular de cão perigoso: falta a regra da licença e a adoção fica entre duas normas contrárias</w:t>
            </w:r>
          </w:p>
        </w:tc>
        <w:tc>
          <w:tcPr>
            <w:tcW w:w="3628" w:type="dxa"/>
          </w:tcPr>
          <w:p>
            <w:pPr>
              <w:spacing w:after="60"/>
            </w:pPr>
            <w:r/>
            <w:r>
              <w:rPr>
                <w:b w:val="0"/>
                <w:sz w:val="20"/>
              </w:rPr>
              <w:t>art. 110.º, Detenção de cães perigosos ou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P-49</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P-52</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P-47</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P-51</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P-43</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P-44</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53 fichas, das quais 49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928" w:type="dxa"/>
          </w:tcPr>
          <w:p>
            <w:pPr>
              <w:spacing w:after="60"/>
            </w:pPr>
            <w:r/>
            <w:r>
              <w:rPr>
                <w:b w:val="0"/>
                <w:sz w:val="20"/>
              </w:rPr>
              <w:t>art. 130.º (cap. XIV); art. 131.º (cap. XIV); art. 132.º (cap. XIV); art. 134.º (cap. XIV)</w:t>
            </w:r>
          </w:p>
        </w:tc>
        <w:tc>
          <w:tcPr>
            <w:tcW w:w="6009"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14</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66</w:t>
            </w:r>
          </w:p>
        </w:tc>
        <w:tc>
          <w:tcPr>
            <w:tcW w:w="1701" w:type="dxa"/>
          </w:tcPr>
          <w:p>
            <w:pPr>
              <w:spacing w:after="60"/>
            </w:pPr>
            <w:r/>
            <w:r>
              <w:rPr>
                <w:b/>
                <w:sz w:val="20"/>
              </w:rPr>
              <w:t>87</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P-48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P-50,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P-50, P-51,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P-50,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 P-53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 P-46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P-53,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P-45,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P-45, P-46, P-48,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P-49, P-53,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P-53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P-52,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P-47, 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P-47, P-50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P-43, P-52,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P-50, P-51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 P-47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(22)</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(12)</w:t>
      </w:r>
    </w:p>
    <w:p>
      <w:pPr>
        <w:spacing w:after="20"/>
        <w:ind w:left="454"/>
      </w:pPr>
      <w:r>
        <w:rPr>
          <w:b w:val="0"/>
          <w:i w:val="0"/>
        </w:rPr>
        <w:t>P-41. Duas normas diferentes sobre que espécies são animais de companhia (art. 2.º, cap. I)</w:t>
      </w:r>
    </w:p>
    <w:p>
      <w:pPr>
        <w:spacing w:after="20"/>
        <w:ind w:left="454"/>
      </w:pPr>
      <w:r>
        <w:rPr>
          <w:b w:val="0"/>
          <w:i w:val="0"/>
        </w:rPr>
        <w:t>P-48. Nada sobre animais de companhia em acidente grave ou catástrofe (art. 25.º,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P-49. Duas vias para retirar a classificação de perigoso, sem ligação entre elas (art. 120.º, cap. XIV)</w:t>
      </w:r>
    </w:p>
    <w:p>
      <w:pPr>
        <w:spacing w:after="20"/>
        <w:ind w:left="454"/>
      </w:pPr>
      <w:r>
        <w:rPr>
          <w:b w:val="0"/>
          <w:i w:val="0"/>
        </w:rPr>
        <w:t>P-47. A apreensão provisória serve só as contraordenações e admite devolver os animais ao local de origem (art. 139.º, cap. XV)</w:t>
      </w:r>
    </w:p>
    <w:p>
      <w:pPr>
        <w:pStyle w:val="Heading2"/>
      </w:pPr>
      <w:r>
        <w:rPr>
          <w:i w:val="0"/>
          <w:color w:val="000000"/>
        </w:rPr>
        <w:t>Estabelecimentos e operadores (6)</w:t>
      </w:r>
    </w:p>
    <w:p>
      <w:pPr>
        <w:spacing w:after="20"/>
        <w:ind w:left="454"/>
      </w:pPr>
      <w:r>
        <w:rPr>
          <w:b w:val="0"/>
          <w:i w:val="0"/>
        </w:rPr>
        <w:t>P-12. Redação por decidir no art. 22.º (art. 22.º, cap. IV)</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pStyle w:val="Heading2"/>
      </w:pPr>
      <w:r>
        <w:rPr>
          <w:i w:val="0"/>
          <w:color w:val="000000"/>
        </w:rPr>
        <w:t>Fiscalização e contraordenações (9)</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P-47. A apreensão provisória serve só as contraordenações e admite devolver os animais ao local de origem (art. 139.º, cap. XV)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spacing w:after="20"/>
        <w:ind w:left="454"/>
      </w:pPr>
      <w:r>
        <w:rPr>
          <w:b w:val="0"/>
          <w:i w:val="0"/>
        </w:rPr>
        <w:t>P-43. A revogação total da Lei 92/95 apaga normas que não tratam de animais de companhia (art. 149.º, cap. XVI)</w:t>
      </w:r>
    </w:p>
    <w:p>
      <w:pPr>
        <w:pStyle w:val="Heading2"/>
      </w:pPr>
      <w:r>
        <w:rPr>
          <w:i w:val="0"/>
          <w:color w:val="000000"/>
        </w:rPr>
        <w:t>Disposições finais e revogações (3)</w:t>
      </w:r>
    </w:p>
    <w:p>
      <w:pPr>
        <w:spacing w:after="20"/>
        <w:ind w:left="454"/>
      </w:pPr>
      <w:r>
        <w:rPr>
          <w:b w:val="0"/>
          <w:i w:val="0"/>
        </w:rPr>
        <w:t>P-07. As portarias mantidas usam detentor no sentido antigo (art. 149.º, cap. XVI)</w:t>
      </w:r>
    </w:p>
    <w:p>
      <w:pPr>
        <w:spacing w:after="20"/>
        <w:ind w:left="454"/>
      </w:pPr>
      <w:r>
        <w:rPr>
          <w:b w:val="0"/>
          <w:i w:val="0"/>
        </w:rPr>
        <w:t>P-43. A revogação total da Lei 92/95 apaga normas que não tratam de animais de companhia (art. 149.º, cap. XVI)</w:t>
      </w:r>
    </w:p>
    <w:p>
      <w:pPr>
        <w:spacing w:after="20"/>
        <w:ind w:left="454"/>
      </w:pPr>
      <w:r>
        <w:rPr>
          <w:b w:val="0"/>
          <w:i w:val="0"/>
        </w:rPr>
        <w:t>P-44. O DL 74/2007 é ressalvado e revogado ao mesmo tempo (art. 149.º, cap. XVI)</w:t>
      </w:r>
    </w:p>
    <w:p>
      <w:pPr>
        <w:pStyle w:val="Heading2"/>
      </w:pPr>
      <w:r>
        <w:rPr>
          <w:i w:val="0"/>
          <w:color w:val="000000"/>
        </w:rPr>
        <w:t>Bem-estar e deveres de detenção (5)</w:t>
      </w:r>
    </w:p>
    <w:p>
      <w:pPr>
        <w:spacing w:after="20"/>
        <w:ind w:left="454"/>
      </w:pPr>
      <w:r>
        <w:rPr>
          <w:b w:val="0"/>
          <w:i w:val="0"/>
        </w:rPr>
        <w:t>P-40. A amarração no domicílio fica sem duração máxima nem requisitos verificáveis (art. 19.º, cap. II)</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P-43. A revogação total da Lei 92/95 apaga normas que não tratam de animais de companhia (art. 149.º, cap. XVI)</w:t>
      </w:r>
    </w:p>
    <w:p>
      <w:pPr>
        <w:pStyle w:val="Heading2"/>
      </w:pPr>
      <w:r>
        <w:rPr>
          <w:i w:val="0"/>
          <w:color w:val="000000"/>
        </w:rPr>
        <w:t>Animais perigosos (2)</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P-49. Duas vias para retirar a classificação de perigoso, sem ligação entre elas (art. 120.º, cap. XIV)</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r>
        <w:tc>
          <w:tcPr>
            <w:tcW w:w="1417" w:type="dxa"/>
          </w:tcPr>
          <w:p>
            <w:pPr>
              <w:spacing w:after="60"/>
            </w:pPr>
            <w:r/>
            <w:r>
              <w:rPr>
                <w:b w:val="0"/>
                <w:sz w:val="20"/>
              </w:rPr>
              <w:t>F-01</w:t>
            </w:r>
          </w:p>
        </w:tc>
        <w:tc>
          <w:tcPr>
            <w:tcW w:w="1417" w:type="dxa"/>
          </w:tcPr>
          <w:p>
            <w:pPr>
              <w:spacing w:after="60"/>
            </w:pPr>
            <w:r/>
            <w:r>
              <w:rPr>
                <w:b w:val="0"/>
                <w:sz w:val="20"/>
              </w:rPr>
              <w:t>P-43</w:t>
            </w:r>
          </w:p>
        </w:tc>
        <w:tc>
          <w:tcPr>
            <w:tcW w:w="6236" w:type="dxa"/>
          </w:tcPr>
          <w:p>
            <w:pPr>
              <w:spacing w:after="60"/>
            </w:pPr>
            <w:r/>
            <w:r>
              <w:rPr>
                <w:b w:val="0"/>
                <w:sz w:val="20"/>
              </w:rPr>
              <w:t>A revogação total da Lei 92/95 apaga normas que não tratam de animais de companhia</w:t>
            </w:r>
          </w:p>
        </w:tc>
      </w:tr>
      <w:tr>
        <w:tc>
          <w:tcPr>
            <w:tcW w:w="1417" w:type="dxa"/>
          </w:tcPr>
          <w:p>
            <w:pPr>
              <w:spacing w:after="60"/>
            </w:pPr>
            <w:r/>
            <w:r>
              <w:rPr>
                <w:b w:val="0"/>
                <w:sz w:val="20"/>
              </w:rPr>
              <w:t>F-02</w:t>
            </w:r>
          </w:p>
        </w:tc>
        <w:tc>
          <w:tcPr>
            <w:tcW w:w="1417" w:type="dxa"/>
          </w:tcPr>
          <w:p>
            <w:pPr>
              <w:spacing w:after="60"/>
            </w:pPr>
            <w:r/>
            <w:r>
              <w:rPr>
                <w:b w:val="0"/>
                <w:sz w:val="20"/>
              </w:rPr>
              <w:t>P-44</w:t>
            </w:r>
          </w:p>
        </w:tc>
        <w:tc>
          <w:tcPr>
            <w:tcW w:w="6236" w:type="dxa"/>
          </w:tcPr>
          <w:p>
            <w:pPr>
              <w:spacing w:after="60"/>
            </w:pPr>
            <w:r/>
            <w:r>
              <w:rPr>
                <w:b w:val="0"/>
                <w:sz w:val="20"/>
              </w:rPr>
              <w:t>O DL 74/2007 é ressalvado e revogado ao mesmo tempo</w:t>
            </w:r>
          </w:p>
        </w:tc>
      </w:tr>
      <w:tr>
        <w:tc>
          <w:tcPr>
            <w:tcW w:w="1417" w:type="dxa"/>
          </w:tcPr>
          <w:p>
            <w:pPr>
              <w:spacing w:after="60"/>
            </w:pPr>
            <w:r/>
            <w:r>
              <w:rPr>
                <w:b w:val="0"/>
                <w:sz w:val="20"/>
              </w:rPr>
              <w:t>G-01</w:t>
            </w:r>
          </w:p>
        </w:tc>
        <w:tc>
          <w:tcPr>
            <w:tcW w:w="1417" w:type="dxa"/>
          </w:tcPr>
          <w:p>
            <w:pPr>
              <w:spacing w:after="60"/>
            </w:pPr>
            <w:r/>
            <w:r>
              <w:rPr>
                <w:b w:val="0"/>
                <w:sz w:val="20"/>
              </w:rPr>
              <w:t>P-45</w:t>
            </w:r>
          </w:p>
        </w:tc>
        <w:tc>
          <w:tcPr>
            <w:tcW w:w="6236" w:type="dxa"/>
          </w:tcPr>
          <w:p>
            <w:pPr>
              <w:spacing w:after="60"/>
            </w:pPr>
            <w:r/>
            <w:r>
              <w:rPr>
                <w:b w:val="0"/>
                <w:sz w:val="20"/>
              </w:rPr>
              <w:t>A recolha por razões de bem-estar passa da DGAV para as câmaras e o destino para o médico veterinário municipal</w:t>
            </w:r>
          </w:p>
        </w:tc>
      </w:tr>
      <w:tr>
        <w:tc>
          <w:tcPr>
            <w:tcW w:w="1417" w:type="dxa"/>
          </w:tcPr>
          <w:p>
            <w:pPr>
              <w:spacing w:after="60"/>
            </w:pPr>
            <w:r/>
            <w:r>
              <w:rPr>
                <w:b w:val="0"/>
                <w:sz w:val="20"/>
              </w:rPr>
              <w:t>G-02</w:t>
            </w:r>
          </w:p>
        </w:tc>
        <w:tc>
          <w:tcPr>
            <w:tcW w:w="1417" w:type="dxa"/>
          </w:tcPr>
          <w:p>
            <w:pPr>
              <w:spacing w:after="60"/>
            </w:pPr>
            <w:r/>
            <w:r>
              <w:rPr>
                <w:b w:val="0"/>
                <w:sz w:val="20"/>
              </w:rPr>
              <w:t>P-46</w:t>
            </w:r>
          </w:p>
        </w:tc>
        <w:tc>
          <w:tcPr>
            <w:tcW w:w="6236" w:type="dxa"/>
          </w:tcPr>
          <w:p>
            <w:pPr>
              <w:spacing w:after="60"/>
            </w:pPr>
            <w:r/>
            <w:r>
              <w:rPr>
                <w:b w:val="0"/>
                <w:sz w:val="20"/>
              </w:rPr>
              <w:t>A presunção de abandono aos 15 dias não ressalva animais apreendidos nem animais socorridos em emergência</w:t>
            </w:r>
          </w:p>
        </w:tc>
      </w:tr>
      <w:tr>
        <w:tc>
          <w:tcPr>
            <w:tcW w:w="1417" w:type="dxa"/>
          </w:tcPr>
          <w:p>
            <w:pPr>
              <w:spacing w:after="60"/>
            </w:pPr>
            <w:r/>
            <w:r>
              <w:rPr>
                <w:b w:val="0"/>
                <w:sz w:val="20"/>
              </w:rPr>
              <w:t>S-02</w:t>
            </w:r>
          </w:p>
        </w:tc>
        <w:tc>
          <w:tcPr>
            <w:tcW w:w="1417" w:type="dxa"/>
          </w:tcPr>
          <w:p>
            <w:pPr>
              <w:spacing w:after="60"/>
            </w:pPr>
            <w:r/>
            <w:r>
              <w:rPr>
                <w:b w:val="0"/>
                <w:sz w:val="20"/>
              </w:rPr>
              <w:t>P-47</w:t>
            </w:r>
          </w:p>
        </w:tc>
        <w:tc>
          <w:tcPr>
            <w:tcW w:w="6236" w:type="dxa"/>
          </w:tcPr>
          <w:p>
            <w:pPr>
              <w:spacing w:after="60"/>
            </w:pPr>
            <w:r/>
            <w:r>
              <w:rPr>
                <w:b w:val="0"/>
                <w:sz w:val="20"/>
              </w:rPr>
              <w:t>A apreensão provisória serve só as contraordenações e admite devolver os animais ao local de origem</w:t>
            </w:r>
          </w:p>
        </w:tc>
      </w:tr>
      <w:tr>
        <w:tc>
          <w:tcPr>
            <w:tcW w:w="1417" w:type="dxa"/>
          </w:tcPr>
          <w:p>
            <w:pPr>
              <w:spacing w:after="60"/>
            </w:pPr>
            <w:r/>
            <w:r>
              <w:rPr>
                <w:b w:val="0"/>
                <w:sz w:val="20"/>
              </w:rPr>
              <w:t>E-01</w:t>
            </w:r>
          </w:p>
        </w:tc>
        <w:tc>
          <w:tcPr>
            <w:tcW w:w="1417" w:type="dxa"/>
          </w:tcPr>
          <w:p>
            <w:pPr>
              <w:spacing w:after="60"/>
            </w:pPr>
            <w:r/>
            <w:r>
              <w:rPr>
                <w:b w:val="0"/>
                <w:sz w:val="20"/>
              </w:rPr>
              <w:t>P-48</w:t>
            </w:r>
          </w:p>
        </w:tc>
        <w:tc>
          <w:tcPr>
            <w:tcW w:w="6236" w:type="dxa"/>
          </w:tcPr>
          <w:p>
            <w:pPr>
              <w:spacing w:after="60"/>
            </w:pPr>
            <w:r/>
            <w:r>
              <w:rPr>
                <w:b w:val="0"/>
                <w:sz w:val="20"/>
              </w:rPr>
              <w:t>Nada sobre animais de companhia em acidente grave ou catástrofe</w:t>
            </w:r>
          </w:p>
        </w:tc>
      </w:tr>
      <w:tr>
        <w:tc>
          <w:tcPr>
            <w:tcW w:w="1417" w:type="dxa"/>
          </w:tcPr>
          <w:p>
            <w:pPr>
              <w:spacing w:after="60"/>
            </w:pPr>
            <w:r/>
            <w:r>
              <w:rPr>
                <w:b w:val="0"/>
                <w:sz w:val="20"/>
              </w:rPr>
              <w:t>D-01</w:t>
            </w:r>
          </w:p>
        </w:tc>
        <w:tc>
          <w:tcPr>
            <w:tcW w:w="1417" w:type="dxa"/>
          </w:tcPr>
          <w:p>
            <w:pPr>
              <w:spacing w:after="60"/>
            </w:pPr>
            <w:r/>
            <w:r>
              <w:rPr>
                <w:b w:val="0"/>
                <w:sz w:val="20"/>
              </w:rPr>
              <w:t>P-49</w:t>
            </w:r>
          </w:p>
        </w:tc>
        <w:tc>
          <w:tcPr>
            <w:tcW w:w="6236" w:type="dxa"/>
          </w:tcPr>
          <w:p>
            <w:pPr>
              <w:spacing w:after="60"/>
            </w:pPr>
            <w:r/>
            <w:r>
              <w:rPr>
                <w:b w:val="0"/>
                <w:sz w:val="20"/>
              </w:rPr>
              <w:t>Duas vias para retirar a classificação de perigoso, sem ligação entre elas</w:t>
            </w:r>
          </w:p>
        </w:tc>
      </w:tr>
      <w:tr>
        <w:tc>
          <w:tcPr>
            <w:tcW w:w="1417" w:type="dxa"/>
          </w:tcPr>
          <w:p>
            <w:pPr>
              <w:spacing w:after="60"/>
            </w:pPr>
            <w:r/>
            <w:r>
              <w:rPr>
                <w:b w:val="0"/>
                <w:sz w:val="20"/>
              </w:rPr>
              <w:t>D-02</w:t>
            </w:r>
          </w:p>
        </w:tc>
        <w:tc>
          <w:tcPr>
            <w:tcW w:w="1417" w:type="dxa"/>
          </w:tcPr>
          <w:p>
            <w:pPr>
              <w:spacing w:after="60"/>
            </w:pPr>
            <w:r/>
            <w:r>
              <w:rPr>
                <w:b w:val="0"/>
                <w:sz w:val="20"/>
              </w:rPr>
              <w:t>P-53</w:t>
            </w:r>
          </w:p>
        </w:tc>
        <w:tc>
          <w:tcPr>
            <w:tcW w:w="6236" w:type="dxa"/>
          </w:tcPr>
          <w:p>
            <w:pPr>
              <w:spacing w:after="60"/>
            </w:pPr>
            <w:r/>
            <w:r>
              <w:rPr>
                <w:b w:val="0"/>
                <w:sz w:val="20"/>
              </w:rPr>
              <w:t>Associação titular de cão perigoso: falta a regra da licença e a adoção fica entre duas normas contrárias</w:t>
            </w:r>
          </w:p>
        </w:tc>
      </w:tr>
      <w:tr>
        <w:tc>
          <w:tcPr>
            <w:tcW w:w="1417" w:type="dxa"/>
          </w:tcPr>
          <w:p>
            <w:pPr>
              <w:spacing w:after="60"/>
            </w:pPr>
            <w:r/>
            <w:r>
              <w:rPr>
                <w:b w:val="0"/>
                <w:sz w:val="20"/>
              </w:rPr>
              <w:t>E-02</w:t>
            </w:r>
          </w:p>
        </w:tc>
        <w:tc>
          <w:tcPr>
            <w:tcW w:w="1417" w:type="dxa"/>
          </w:tcPr>
          <w:p>
            <w:pPr>
              <w:spacing w:after="60"/>
            </w:pPr>
            <w:r/>
            <w:r>
              <w:rPr>
                <w:b w:val="0"/>
                <w:sz w:val="20"/>
              </w:rPr>
              <w:t>P-50</w:t>
            </w:r>
          </w:p>
        </w:tc>
        <w:tc>
          <w:tcPr>
            <w:tcW w:w="6236" w:type="dxa"/>
          </w:tcPr>
          <w:p>
            <w:pPr>
              <w:spacing w:after="60"/>
            </w:pPr>
            <w:r/>
            <w:r>
              <w:rPr>
                <w:b w:val="0"/>
                <w:sz w:val="20"/>
              </w:rPr>
              <w:t>O encerramento de estabelecimentos fica sem medida cautelar, sem regra para os animais e sem efeito no registo</w:t>
            </w:r>
          </w:p>
        </w:tc>
      </w:tr>
      <w:tr>
        <w:tc>
          <w:tcPr>
            <w:tcW w:w="1417" w:type="dxa"/>
          </w:tcPr>
          <w:p>
            <w:pPr>
              <w:spacing w:after="60"/>
            </w:pPr>
            <w:r/>
            <w:r>
              <w:rPr>
                <w:b w:val="0"/>
                <w:sz w:val="20"/>
              </w:rPr>
              <w:t>S-03</w:t>
            </w:r>
          </w:p>
        </w:tc>
        <w:tc>
          <w:tcPr>
            <w:tcW w:w="1417" w:type="dxa"/>
          </w:tcPr>
          <w:p>
            <w:pPr>
              <w:spacing w:after="60"/>
            </w:pPr>
            <w:r/>
            <w:r>
              <w:rPr>
                <w:b w:val="0"/>
                <w:sz w:val="20"/>
              </w:rPr>
              <w:t>P-51</w:t>
            </w:r>
          </w:p>
        </w:tc>
        <w:tc>
          <w:tcPr>
            <w:tcW w:w="6236" w:type="dxa"/>
          </w:tcPr>
          <w:p>
            <w:pPr>
              <w:spacing w:after="60"/>
            </w:pPr>
            <w:r/>
            <w:r>
              <w:rPr>
                <w:b w:val="0"/>
                <w:sz w:val="20"/>
              </w:rPr>
              <w:t>As sanções acessórias perdem a interdição do exercício da atividade</w:t>
            </w:r>
          </w:p>
        </w:tc>
      </w:tr>
      <w:tr>
        <w:tc>
          <w:tcPr>
            <w:tcW w:w="1417" w:type="dxa"/>
          </w:tcPr>
          <w:p>
            <w:pPr>
              <w:spacing w:after="60"/>
            </w:pPr>
            <w:r/>
            <w:r>
              <w:rPr>
                <w:b w:val="0"/>
                <w:sz w:val="20"/>
              </w:rPr>
              <w:t>S-04</w:t>
            </w:r>
          </w:p>
        </w:tc>
        <w:tc>
          <w:tcPr>
            <w:tcW w:w="1417" w:type="dxa"/>
          </w:tcPr>
          <w:p>
            <w:pPr>
              <w:spacing w:after="60"/>
            </w:pPr>
            <w:r/>
            <w:r>
              <w:rPr>
                <w:b w:val="0"/>
                <w:sz w:val="20"/>
              </w:rPr>
              <w:t>P-52</w:t>
            </w:r>
          </w:p>
        </w:tc>
        <w:tc>
          <w:tcPr>
            <w:tcW w:w="6236"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1.30</w:t>
            </w:r>
          </w:p>
        </w:tc>
        <w:tc>
          <w:tcPr>
            <w:tcW w:w="1417" w:type="dxa"/>
          </w:tcPr>
          <w:p>
            <w:pPr>
              <w:spacing w:after="60"/>
            </w:pPr>
            <w:r/>
            <w:r>
              <w:rPr>
                <w:b w:val="0"/>
                <w:sz w:val="20"/>
              </w:rPr>
              <w:t>22.10.2026</w:t>
            </w:r>
          </w:p>
        </w:tc>
        <w:tc>
          <w:tcPr>
            <w:tcW w:w="6406"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247" w:type="dxa"/>
          </w:tcPr>
          <w:p>
            <w:pPr>
              <w:spacing w:after="60"/>
            </w:pPr>
            <w:r/>
            <w:r>
              <w:rPr>
                <w:b w:val="0"/>
                <w:sz w:val="20"/>
              </w:rPr>
              <w:t>1.31</w:t>
            </w:r>
          </w:p>
        </w:tc>
        <w:tc>
          <w:tcPr>
            <w:tcW w:w="1417" w:type="dxa"/>
          </w:tcPr>
          <w:p>
            <w:pPr>
              <w:spacing w:after="60"/>
            </w:pPr>
            <w:r/>
            <w:r>
              <w:rPr>
                <w:b w:val="0"/>
                <w:sz w:val="20"/>
              </w:rPr>
              <w:t>22.10.2026</w:t>
            </w:r>
          </w:p>
        </w:tc>
        <w:tc>
          <w:tcPr>
            <w:tcW w:w="6406"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247" w:type="dxa"/>
          </w:tcPr>
          <w:p>
            <w:pPr>
              <w:spacing w:after="60"/>
            </w:pPr>
            <w:r/>
            <w:r>
              <w:rPr>
                <w:b w:val="0"/>
                <w:sz w:val="20"/>
              </w:rPr>
              <w:t>1.32</w:t>
            </w:r>
          </w:p>
        </w:tc>
        <w:tc>
          <w:tcPr>
            <w:tcW w:w="1417" w:type="dxa"/>
          </w:tcPr>
          <w:p>
            <w:pPr>
              <w:spacing w:after="60"/>
            </w:pPr>
            <w:r/>
            <w:r>
              <w:rPr>
                <w:b w:val="0"/>
                <w:sz w:val="20"/>
              </w:rPr>
              <w:t>22.10.2026</w:t>
            </w:r>
          </w:p>
        </w:tc>
        <w:tc>
          <w:tcPr>
            <w:tcW w:w="6406"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247" w:type="dxa"/>
          </w:tcPr>
          <w:p>
            <w:pPr>
              <w:spacing w:after="60"/>
            </w:pPr>
            <w:r/>
            <w:r>
              <w:rPr>
                <w:b w:val="0"/>
                <w:sz w:val="20"/>
              </w:rPr>
              <w:t>1.33</w:t>
            </w:r>
          </w:p>
        </w:tc>
        <w:tc>
          <w:tcPr>
            <w:tcW w:w="1417" w:type="dxa"/>
          </w:tcPr>
          <w:p>
            <w:pPr>
              <w:spacing w:after="60"/>
            </w:pPr>
            <w:r/>
            <w:r>
              <w:rPr>
                <w:b w:val="0"/>
                <w:sz w:val="20"/>
              </w:rPr>
              <w:t>23.10.2026</w:t>
            </w:r>
          </w:p>
        </w:tc>
        <w:tc>
          <w:tcPr>
            <w:tcW w:w="6406"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6">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7">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8">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9">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0">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1">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2">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3">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4">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5">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6">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7">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8">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9">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0">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8">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1.33.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anmp.pt/file-viewer/?pstid=41508" TargetMode="External"/><Relationship Id="rId37"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8"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9" Type="http://schemas.openxmlformats.org/officeDocument/2006/relationships/hyperlink" Target="https://www.dgav.pt/animais/conteudo/recursos-geneticos-animais/racas-autoctones/" TargetMode="External"/><Relationship Id="rId40" Type="http://schemas.openxmlformats.org/officeDocument/2006/relationships/hyperlink" Target="https://www.icnf.pt/api/file/doc/41f8f44aee23be1a" TargetMode="External"/><Relationship Id="rId41" Type="http://schemas.openxmlformats.org/officeDocument/2006/relationships/hyperlink" Target="https://www.dgav.pt/wp-content/uploads/2021/08/Relatorio-FINAL-avaliacao-da-implementacao-da-Lei-27-2016.pdf" TargetMode="External"/><Relationship Id="rId42" Type="http://schemas.openxmlformats.org/officeDocument/2006/relationships/hyperlink" Target="https://www.provedor-jus.pt/documentos/082A_96.pdf" TargetMode="External"/><Relationship Id="rId43" Type="http://schemas.openxmlformats.org/officeDocument/2006/relationships/hyperlink" Target="https://www.provedor-jus.pt/documentos/canideos-captura-alojamento-e-abate/" TargetMode="External"/><Relationship Id="rId44" Type="http://schemas.openxmlformats.org/officeDocument/2006/relationships/hyperlink" Target="https://www.provedor-jus.pt/documentos/ambiente-salubridade-habitacao-acumulacao-de-residuos-saude-mental-sindrome-de-diogenes-004-a-2013/" TargetMode="External"/><Relationship Id="rId45" Type="http://schemas.openxmlformats.org/officeDocument/2006/relationships/hyperlink" Target="https://www.provedor-jus.pt/documentos/Relat2020%20_Relatorio.pdf" TargetMode="External"/><Relationship Id="rId46" Type="http://schemas.openxmlformats.org/officeDocument/2006/relationships/hyperlink" Target="https://www.provedor-jus.pt/documentos/Relatorio%202023.pdf" TargetMode="External"/><Relationship Id="rId47" Type="http://schemas.openxmlformats.org/officeDocument/2006/relationships/hyperlink" Target="https://food.ec.europa.eu/document/download/caf8cd1d-967a-4e60-a0e5-19401be1c6b3_en?filename=aw_awp_leg_dog-cat_swd-2024-88.pdf" TargetMode="External"/><Relationship Id="rId48" Type="http://schemas.openxmlformats.org/officeDocument/2006/relationships/hyperlink" Target="https://www.woah.org/fileadmin/Home/eng/Health_standards/tahc/2023/chapitre_aw_stray_dog.pdf" TargetMode="External"/><Relationship Id="rId49" Type="http://schemas.openxmlformats.org/officeDocument/2006/relationships/hyperlink" Target="https://www.dgav.pt/wp-content/uploads/2026/03/Relatorio_CROs_2025_31032026-rev.pdf" TargetMode="External"/><Relationship Id="rId50" Type="http://schemas.openxmlformats.org/officeDocument/2006/relationships/hyperlink" Target="https://www.cpc.pt/wp-content/uploads/2020/12/lop_ri.pdf" TargetMode="External"/><Relationship Id="rId51" Type="http://schemas.openxmlformats.org/officeDocument/2006/relationships/hyperlink" Target="https://www.omv.pt/dmdocuments/vi_formacao_omv/abandono_animais_camv_ultimoparecer_nov2015.pdf" TargetMode="External"/><Relationship Id="rId5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3" Type="http://schemas.openxmlformats.org/officeDocument/2006/relationships/hyperlink" Target="https://apmveac.pt/wp-content/uploads/2021/04/Legislacao.Animais.Companhia_09-04-2021-amarelo-final-.pdf" TargetMode="External"/><Relationship Id="rId54" Type="http://schemas.openxmlformats.org/officeDocument/2006/relationships/hyperlink" Target="https://apmveac.pt/wp-content/uploads/2023/09/Parecer-APMVEAC-Consulta-Publica-ENAE.pdf" TargetMode="External"/><Relationship Id="rId55" Type="http://schemas.openxmlformats.org/officeDocument/2006/relationships/hyperlink" Target="https://www.arpa-associacao.pt/media/attachments/2022/12/14/parecer-arpa-versAo-4-final.pdf" TargetMode="External"/><Relationship Id="rId56" Type="http://schemas.openxmlformats.org/officeDocument/2006/relationships/hyperlink" Target="https://www.spea.pt/wp-content/uploads/2020/09/ParecerSPEA_Planos-Gestao-Parques-Naturais-Ilha-2020.pdf" TargetMode="External"/><Relationship Id="rId57" Type="http://schemas.openxmlformats.org/officeDocument/2006/relationships/hyperlink" Target="https://spea.pt/um-gato-feliz-e-alimentado-mantem-o-passarinho-afastado/" TargetMode="External"/><Relationship Id="rId58" Type="http://schemas.openxmlformats.org/officeDocument/2006/relationships/hyperlink" Target="https://matilhascoimbra.pt/pages/projecto-2" TargetMode="External"/><Relationship Id="rId59" Type="http://schemas.openxmlformats.org/officeDocument/2006/relationships/hyperlink" Target="https://www.pan.com.pt/pan-destaca-vitorias-no-bem-estar-animal-mas-denuncia-retrocesso-grave-no-orcamento-do-estado-para-2026/" TargetMode="External"/><Relationship Id="rId60" Type="http://schemas.openxmlformats.org/officeDocument/2006/relationships/hyperlink" Target="https://www.pcp.pt/solucao-prevencao-pela-esterilizacao-rede-publica-de-veterinarios-nao-abate-de-animais-abandonados" TargetMode="External"/><Relationship Id="rId61" Type="http://schemas.openxmlformats.org/officeDocument/2006/relationships/hyperlink" Target="https://www.pcp.pt/campanha-nacional-de-esterilizacao-de-animais-errantes-0" TargetMode="External"/><Relationship Id="rId62" Type="http://schemas.openxmlformats.org/officeDocument/2006/relationships/hyperlink" Target="https://programa.partidolivre.pt/propostas/N.13/" TargetMode="External"/><Relationship Id="rId63" Type="http://schemas.openxmlformats.org/officeDocument/2006/relationships/hyperlink" Target="https://maratonapelosanimais.pt/wp-content/uploads/2024/03/respostas-completas.pdf" TargetMode="External"/><Relationship Id="rId64" Type="http://schemas.openxmlformats.org/officeDocument/2006/relationships/hyperlink" Target="https://www.cidp.pt/revistas/rjlb/2019/2/2019_02_0077_0095.pdf" TargetMode="External"/><Relationship Id="rId65" Type="http://schemas.openxmlformats.org/officeDocument/2006/relationships/hyperlink" Target="https://www.cidp.pt/revistas/rjlb/2019/2/2019_02_0305_0348.pdf" TargetMode="External"/><Relationship Id="rId66" Type="http://schemas.openxmlformats.org/officeDocument/2006/relationships/hyperlink" Target="https://cej.justica.gov.pt/LinkClick.aspx?fileticket=VpuQj7jZ-us%3D&amp;portalid=30" TargetMode="External"/><Relationship Id="rId67" Type="http://schemas.openxmlformats.org/officeDocument/2006/relationships/hyperlink" Target="https://jurisprudencia.pt/acordao/76412/" TargetMode="External"/><Relationship Id="rId68" Type="http://schemas.openxmlformats.org/officeDocument/2006/relationships/hyperlink" Target="https://trc.pt/responsabilidade-civil-danos-causados-por-animais-dever-de-vigilancia/" TargetMode="External"/><Relationship Id="rId69" Type="http://schemas.openxmlformats.org/officeDocument/2006/relationships/hyperlink" Target="https://jurisprudencia.pt/acordao/128487/" TargetMode="External"/><Relationship Id="rId70" Type="http://schemas.openxmlformats.org/officeDocument/2006/relationships/hyperlink" Target="https://www.tribunalconstitucional.pt/tc/acordaos/20210867.html" TargetMode="External"/><Relationship Id="rId71" Type="http://schemas.openxmlformats.org/officeDocument/2006/relationships/hyperlink" Target="https://www.tribunalconstitucional.pt/tc/acordaos/20240070.html" TargetMode="External"/><Relationship Id="rId72" Type="http://schemas.openxmlformats.org/officeDocument/2006/relationships/hyperlink" Target="https://jurisprudencia.pt/acordao/221373/" TargetMode="External"/><Relationship Id="rId73" Type="http://schemas.openxmlformats.org/officeDocument/2006/relationships/hyperlink" Target="https://www.tribunalconstitucional.pt/tc/acordaos/20240478.html" TargetMode="External"/><Relationship Id="rId74" Type="http://schemas.openxmlformats.org/officeDocument/2006/relationships/hyperlink" Target="https://www.dgsi.pt/jtrl.nsf/33182fc732316039802565fa00497eec/7462ba7a0546bac680258c8b0049a31e?OpenDocument" TargetMode="External"/><Relationship Id="rId75" Type="http://schemas.openxmlformats.org/officeDocument/2006/relationships/hyperlink" Target="https://www.dgsi.pt/jtrp.nsf/56a6e7121657f91e80257cda00381fdf/703e8b815ea39ece80258b34004b8157" TargetMode="External"/><Relationship Id="rId76" Type="http://schemas.openxmlformats.org/officeDocument/2006/relationships/hyperlink" Target="https://www.nature.com/articles/ncomms2380" TargetMode="External"/><Relationship Id="rId77" Type="http://schemas.openxmlformats.org/officeDocument/2006/relationships/hyperlink" Target="https://doi.org/10.2460/javma.2005.227.1775" TargetMode="External"/><Relationship Id="rId78" Type="http://schemas.openxmlformats.org/officeDocument/2006/relationships/hyperlink" Target="https://www.frontiersin.org/journals/veterinary-science/articles/10.3389/fvets.2019.00238/full" TargetMode="External"/><Relationship Id="rId79" Type="http://schemas.openxmlformats.org/officeDocument/2006/relationships/hyperlink" Target="https://www.frontiersin.org/journals/veterinary-science/articles/10.3389/fvets.2019.00077/full" TargetMode="External"/><Relationship Id="rId80" Type="http://schemas.openxmlformats.org/officeDocument/2006/relationships/hyperlink" Target="https://doi.org/10.1093/jel/eqz035" TargetMode="External"/><Relationship Id="rId81" Type="http://schemas.openxmlformats.org/officeDocument/2006/relationships/hyperlink" Target="https://pmc.ncbi.nlm.nih.gov/articles/PMC9169806/" TargetMode="External"/><Relationship Id="rId82" Type="http://schemas.openxmlformats.org/officeDocument/2006/relationships/hyperlink" Target="https://pmc.ncbi.nlm.nih.gov/articles/PMC11939513/" TargetMode="External"/><Relationship Id="rId83" Type="http://schemas.openxmlformats.org/officeDocument/2006/relationships/hyperlink" Target="https://dspace.uevora.pt/rdpc/bitstream/10174/38522/1/Gal%C3%A3o%20et%20al_2025_When%20pets%20go%20wild.pdf" TargetMode="External"/><Relationship Id="rId8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