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3.0 (opção B).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3.0 (ensaio), com o conteúdo da versão 1.33</w:t>
            </w:r>
          </w:p>
        </w:tc>
      </w:tr>
      <w:tr>
        <w:tc>
          <w:tcPr>
            <w:tcW w:w="2551" w:type="dxa"/>
          </w:tcPr>
          <w:p>
            <w:pPr>
              <w:spacing w:after="60"/>
            </w:pPr>
            <w:r/>
            <w:r>
              <w:rPr>
                <w:b/>
                <w:sz w:val="20"/>
              </w:rPr>
              <w:t>Data</w:t>
            </w:r>
          </w:p>
        </w:tc>
        <w:tc>
          <w:tcPr>
            <w:tcW w:w="6520" w:type="dxa"/>
          </w:tcPr>
          <w:p>
            <w:pPr>
              <w:spacing w:after="60"/>
            </w:pPr>
            <w:r/>
            <w:r>
              <w:rPr>
                <w:b w:val="0"/>
                <w:sz w:val="20"/>
              </w:rPr>
              <w:t>23.10.2026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REG-01. Duas normas diferentes sobre que espécies são animais de companhia (art. 2.º)</w:t>
      </w:r>
    </w:p>
    <w:p>
      <w:pPr>
        <w:spacing w:after="0"/>
        <w:ind w:left="567"/>
      </w:pPr>
      <w:r>
        <w:rPr>
          <w:b w:val="0"/>
          <w:i w:val="0"/>
        </w:rPr>
        <w:t>CED-18. A definição de animal errante passa a abranger qualquer animal não identificado (art. 3.º)</w:t>
      </w:r>
    </w:p>
    <w:p>
      <w:pPr>
        <w:spacing w:after="0"/>
        <w:ind w:left="567"/>
      </w:pPr>
      <w:r>
        <w:rPr>
          <w:b w:val="0"/>
          <w:i w:val="0"/>
        </w:rPr>
        <w:t>TIT-01. A definição de titular depende só do registo (art. 3.º)</w:t>
      </w:r>
    </w:p>
    <w:p>
      <w:pPr>
        <w:spacing w:after="0"/>
        <w:ind w:left="567"/>
      </w:pPr>
      <w:r>
        <w:rPr>
          <w:b w:val="0"/>
          <w:i w:val="0"/>
        </w:rPr>
        <w:t>TIT-03. Sem regra sobre o valor do registo SIAC face à propriedade (art. 3.º)</w:t>
      </w:r>
    </w:p>
    <w:p>
      <w:pPr>
        <w:spacing w:after="0"/>
        <w:ind w:left="567"/>
      </w:pPr>
      <w:r>
        <w:rPr>
          <w:b w:val="0"/>
          <w:i w:val="0"/>
        </w:rPr>
        <w:t>TIT-09. «Titular ou operador» quando o operador já é titular (art. 3.º)</w:t>
      </w:r>
    </w:p>
    <w:p>
      <w:pPr>
        <w:spacing w:after="0"/>
        <w:ind w:left="567"/>
      </w:pPr>
      <w:r>
        <w:rPr>
          <w:b w:val="0"/>
          <w:i w:val="0"/>
        </w:rPr>
        <w:t>TIT-14. Família de acolhimento sem operador fica sem enquadramento (art. 3.º)</w:t>
      </w:r>
    </w:p>
    <w:p>
      <w:pPr>
        <w:spacing w:after="0"/>
        <w:ind w:left="567"/>
      </w:pPr>
      <w:r>
        <w:rPr>
          <w:b w:val="0"/>
          <w:i w:val="0"/>
        </w:rPr>
        <w:t>TIT-18. Animais deixados em centros veterinários (art. 3.º)</w:t>
      </w:r>
    </w:p>
    <w:p>
      <w:pPr>
        <w:spacing w:after="0"/>
        <w:ind w:left="567"/>
      </w:pPr>
      <w:r>
        <w:rPr>
          <w:b w:val="0"/>
          <w:i w:val="0"/>
        </w:rPr>
        <w:t>TIT-19. Nada diz quem é titular quando o animal não tem proprietário (art. 3.º)</w:t>
      </w:r>
    </w:p>
    <w:p>
      <w:pPr>
        <w:spacing w:after="40"/>
      </w:pPr>
    </w:p>
    <w:p>
      <w:pPr>
        <w:spacing w:after="40"/>
      </w:pPr>
      <w:r>
        <w:rPr>
          <w:b/>
          <w:i w:val="0"/>
        </w:rPr>
        <w:t>4. Capítulo II. Princípios Gerais</w:t>
      </w:r>
    </w:p>
    <w:p>
      <w:pPr>
        <w:spacing w:after="0"/>
        <w:ind w:left="567"/>
      </w:pPr>
      <w:r>
        <w:rPr>
          <w:b w:val="0"/>
          <w:i w:val="0"/>
        </w:rPr>
        <w:t>TIT-13. Quem responde pelos danos causados pelo animal (art. 6.º)</w:t>
      </w:r>
    </w:p>
    <w:p>
      <w:pPr>
        <w:spacing w:after="0"/>
        <w:ind w:left="567"/>
      </w:pPr>
      <w:r>
        <w:rPr>
          <w:b w:val="0"/>
          <w:i w:val="0"/>
        </w:rPr>
        <w:t>TIT-16. Detentores de facto que dizem tratar de animais errantes (art. 6.º)</w:t>
      </w:r>
    </w:p>
    <w:p>
      <w:pPr>
        <w:spacing w:after="0"/>
        <w:ind w:left="567"/>
      </w:pPr>
      <w:r>
        <w:rPr>
          <w:b w:val="0"/>
          <w:i w:val="0"/>
        </w:rPr>
        <w:t>BEM-01.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TIT-12. Redação por decidir no art. 22.º (art. 22.º)</w:t>
      </w:r>
    </w:p>
    <w:p>
      <w:pPr>
        <w:spacing w:after="0"/>
        <w:ind w:left="567"/>
      </w:pPr>
      <w:r>
        <w:rPr>
          <w:b w:val="0"/>
          <w:i w:val="0"/>
        </w:rPr>
        <w:t>BEM-02. Nada sobre animais de companhia em acidente grave ou catástrofe (art. 25.º)</w:t>
      </w:r>
    </w:p>
    <w:p>
      <w:pPr>
        <w:spacing w:after="0"/>
        <w:ind w:left="567"/>
      </w:pPr>
      <w:r>
        <w:rPr>
          <w:b w:val="0"/>
          <w:i w:val="0"/>
        </w:rPr>
        <w:t>EST-01.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CED-12.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TIT-02. Registo em nome de quem detém o animal e não de quem é dono (art. 69.º)</w:t>
      </w:r>
    </w:p>
    <w:p>
      <w:pPr>
        <w:spacing w:after="0"/>
        <w:ind w:left="567"/>
      </w:pPr>
      <w:r>
        <w:rPr>
          <w:b w:val="0"/>
          <w:i w:val="0"/>
        </w:rPr>
        <w:t>TIT-08. Animais perigosos: o operador pode ser uma sociedade, o titular não (art. 69.º)</w:t>
      </w:r>
    </w:p>
    <w:p>
      <w:pPr>
        <w:spacing w:after="0"/>
        <w:ind w:left="567"/>
      </w:pPr>
      <w:r>
        <w:rPr>
          <w:b w:val="0"/>
          <w:i w:val="0"/>
        </w:rPr>
        <w:t>TIT-10. Terminologia do CRO ainda não uniforme (art. 70.º)</w:t>
      </w:r>
    </w:p>
    <w:p>
      <w:pPr>
        <w:spacing w:after="0"/>
        <w:ind w:left="567"/>
      </w:pPr>
      <w:r>
        <w:rPr>
          <w:b w:val="0"/>
          <w:i w:val="0"/>
        </w:rPr>
        <w:t>TIT-05. A presunção de abandono remete para normas erradas e não diz a quem se aplica (art. 73.º)</w:t>
      </w:r>
    </w:p>
    <w:p>
      <w:pPr>
        <w:spacing w:after="0"/>
        <w:ind w:left="567"/>
      </w:pPr>
      <w:r>
        <w:rPr>
          <w:b w:val="0"/>
          <w:i w:val="0"/>
        </w:rPr>
        <w:t>TIT-17. Prazos de comunicação ao SIAC mais pesados do que o Regulamento europeu (art. 73.º)</w:t>
      </w:r>
    </w:p>
    <w:p>
      <w:pPr>
        <w:spacing w:after="0"/>
        <w:ind w:left="567"/>
      </w:pPr>
      <w:r>
        <w:rPr>
          <w:b w:val="0"/>
          <w:i w:val="0"/>
        </w:rPr>
        <w:t>TIT-04.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CED-03. Proibição nacional de alimentar animais na via pública (art. 84.º)</w:t>
      </w:r>
    </w:p>
    <w:p>
      <w:pPr>
        <w:spacing w:after="0"/>
        <w:ind w:left="567"/>
      </w:pPr>
      <w:r>
        <w:rPr>
          <w:b w:val="0"/>
          <w:i w:val="0"/>
        </w:rPr>
        <w:t>CED-17. Plano municipal de controlo de errantes sem conteúdo mínimo nem consequências (art. 85.º)</w:t>
      </w:r>
    </w:p>
    <w:p>
      <w:pPr>
        <w:spacing w:after="0"/>
        <w:ind w:left="567"/>
      </w:pPr>
      <w:r>
        <w:rPr>
          <w:b w:val="0"/>
          <w:i w:val="0"/>
        </w:rPr>
        <w:t>CED-01. O CED passa a ser só uma faculdade das câmaras (art. 86.º)</w:t>
      </w:r>
    </w:p>
    <w:p>
      <w:pPr>
        <w:spacing w:after="0"/>
        <w:ind w:left="567"/>
      </w:pPr>
      <w:r>
        <w:rPr>
          <w:b w:val="0"/>
          <w:i w:val="0"/>
        </w:rPr>
        <w:t>CED-02. O cuidador de colónia não existe no texto (art. 86.º)</w:t>
      </w:r>
    </w:p>
    <w:p>
      <w:pPr>
        <w:spacing w:after="0"/>
        <w:ind w:left="567"/>
      </w:pPr>
      <w:r>
        <w:rPr>
          <w:b w:val="0"/>
          <w:i w:val="0"/>
        </w:rPr>
        <w:t>CED-05. Passagem obrigatória pelo CRO antes de o gato entrar na colónia (art. 86.º)</w:t>
      </w:r>
    </w:p>
    <w:p>
      <w:pPr>
        <w:spacing w:after="0"/>
        <w:ind w:left="567"/>
      </w:pPr>
      <w:r>
        <w:rPr>
          <w:b w:val="0"/>
          <w:i w:val="0"/>
        </w:rPr>
        <w:t>CED-06. Exclusão dos cães do CED (art. 86.º)</w:t>
      </w:r>
    </w:p>
    <w:p>
      <w:pPr>
        <w:spacing w:after="0"/>
        <w:ind w:left="567"/>
      </w:pPr>
      <w:r>
        <w:rPr>
          <w:b w:val="0"/>
          <w:i w:val="0"/>
        </w:rPr>
        <w:t>CED-07. Remissões e numeração erradas no artigo do CED (art. 86.º)</w:t>
      </w:r>
    </w:p>
    <w:p>
      <w:pPr>
        <w:spacing w:after="0"/>
        <w:ind w:left="567"/>
      </w:pPr>
      <w:r>
        <w:rPr>
          <w:b w:val="0"/>
          <w:i w:val="0"/>
        </w:rPr>
        <w:t>CED-08. Entidade promotora, entidade responsável e titular: quem responde pela colónia (art. 86.º)</w:t>
      </w:r>
    </w:p>
    <w:p>
      <w:pPr>
        <w:spacing w:after="0"/>
        <w:ind w:left="567"/>
      </w:pPr>
      <w:r>
        <w:rPr>
          <w:b w:val="0"/>
          <w:i w:val="0"/>
        </w:rPr>
        <w:t>CED-09. Registo da colónia no SIAC sem conteúdo definido (art. 86.º)</w:t>
      </w:r>
    </w:p>
    <w:p>
      <w:pPr>
        <w:spacing w:after="0"/>
        <w:ind w:left="567"/>
      </w:pPr>
      <w:r>
        <w:rPr>
          <w:b w:val="0"/>
          <w:i w:val="0"/>
        </w:rPr>
        <w:t>CED-11. CED e conservação da natureza (art. 86.º)</w:t>
      </w:r>
    </w:p>
    <w:p>
      <w:pPr>
        <w:spacing w:after="0"/>
        <w:ind w:left="567"/>
      </w:pPr>
      <w:r>
        <w:rPr>
          <w:b w:val="0"/>
          <w:i w:val="0"/>
        </w:rPr>
        <w:t>CED-13. Crias e gatos sociáveis: retirar ou devolver (art. 86.º)</w:t>
      </w:r>
    </w:p>
    <w:p>
      <w:pPr>
        <w:spacing w:after="0"/>
        <w:ind w:left="567"/>
      </w:pPr>
      <w:r>
        <w:rPr>
          <w:b w:val="0"/>
          <w:i w:val="0"/>
        </w:rPr>
        <w:t>CED-14. Suspensão do programa e recolha dos gatos sem garantias (art. 86.º)</w:t>
      </w:r>
    </w:p>
    <w:p>
      <w:pPr>
        <w:spacing w:after="0"/>
        <w:ind w:left="567"/>
      </w:pPr>
      <w:r>
        <w:rPr>
          <w:b w:val="0"/>
          <w:i w:val="0"/>
        </w:rPr>
        <w:t>CED-15. Meios: médicos veterinários municipais e financiamento (art. 86.º)</w:t>
      </w:r>
    </w:p>
    <w:p>
      <w:pPr>
        <w:spacing w:after="0"/>
        <w:ind w:left="567"/>
      </w:pPr>
      <w:r>
        <w:rPr>
          <w:b w:val="0"/>
          <w:i w:val="0"/>
        </w:rPr>
        <w:t>CED-16. Conflito com vizinhos e dimensão da colónia (art. 86.º)</w:t>
      </w:r>
    </w:p>
    <w:p>
      <w:pPr>
        <w:spacing w:after="0"/>
        <w:ind w:left="567"/>
      </w:pPr>
      <w:r>
        <w:rPr>
          <w:b w:val="0"/>
          <w:i w:val="0"/>
        </w:rPr>
        <w:t>CED-10. Colónias em prédios privados (art. 87.º)</w:t>
      </w:r>
    </w:p>
    <w:p>
      <w:pPr>
        <w:spacing w:after="0"/>
        <w:ind w:left="567"/>
      </w:pPr>
      <w:r>
        <w:rPr>
          <w:b w:val="0"/>
          <w:i w:val="0"/>
        </w:rPr>
        <w:t>CED-04. Só as câmaras podem capturar, mas o CED pode ser gerido por outras entidades (art. 91.º)</w:t>
      </w:r>
    </w:p>
    <w:p>
      <w:pPr>
        <w:spacing w:after="0"/>
        <w:ind w:left="567"/>
      </w:pPr>
      <w:r>
        <w:rPr>
          <w:b w:val="0"/>
          <w:i w:val="0"/>
        </w:rPr>
        <w:t>CED-19. A Lei 75/2013 ainda atribui às câmaras o abate de canídeos e gatídeos (art. 91.º)</w:t>
      </w:r>
    </w:p>
    <w:p>
      <w:pPr>
        <w:spacing w:after="0"/>
        <w:ind w:left="567"/>
      </w:pPr>
      <w:r>
        <w:rPr>
          <w:b w:val="0"/>
          <w:i w:val="0"/>
        </w:rPr>
        <w:t>SAN-02. A recolha por razões de bem-estar passa da DGAV para as câmaras e o destino para o médico veterinário municipal (art. 91.º)</w:t>
      </w:r>
    </w:p>
    <w:p>
      <w:pPr>
        <w:spacing w:after="0"/>
        <w:ind w:left="567"/>
      </w:pPr>
      <w:r>
        <w:rPr>
          <w:b w:val="0"/>
          <w:i w:val="0"/>
        </w:rPr>
        <w:t>TIT-15. Quem encontra um animal passa a poder ser punido (art. 91.º)</w:t>
      </w:r>
    </w:p>
    <w:p>
      <w:pPr>
        <w:spacing w:after="0"/>
        <w:ind w:left="567"/>
      </w:pPr>
      <w:r>
        <w:rPr>
          <w:b w:val="0"/>
          <w:i w:val="0"/>
        </w:rPr>
        <w:t>TIT-20. Quem acolhe um animal errante pode ficar sem saída lícita (art. 94.º)</w:t>
      </w:r>
    </w:p>
    <w:p>
      <w:pPr>
        <w:spacing w:after="0"/>
        <w:ind w:left="567"/>
      </w:pPr>
      <w:r>
        <w:rPr>
          <w:b w:val="0"/>
          <w:i w:val="0"/>
        </w:rPr>
        <w:t>TIT-21.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PER-02. Associação titular de cão perigoso: falta a regra da licença e a adoção fica entre duas normas contrárias (art. 110.º)</w:t>
      </w:r>
    </w:p>
    <w:p>
      <w:pPr>
        <w:spacing w:after="0"/>
        <w:ind w:left="567"/>
      </w:pPr>
      <w:r>
        <w:rPr>
          <w:b w:val="0"/>
          <w:i w:val="0"/>
        </w:rPr>
        <w:t>PER-01.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SAN-05. O dever geral de colaboração de terceiros e a coima por recusa de informações não passam para o RGAC (art. 138.º)</w:t>
      </w:r>
    </w:p>
    <w:p>
      <w:pPr>
        <w:spacing w:after="0"/>
        <w:ind w:left="567"/>
      </w:pPr>
      <w:r>
        <w:rPr>
          <w:b w:val="0"/>
          <w:i w:val="0"/>
        </w:rPr>
        <w:t>SAN-03. A apreensão provisória serve só as contraordenações e admite devolver os animais ao local de origem (art. 139.º)</w:t>
      </w:r>
    </w:p>
    <w:p>
      <w:pPr>
        <w:spacing w:after="0"/>
        <w:ind w:left="567"/>
      </w:pPr>
      <w:r>
        <w:rPr>
          <w:b w:val="0"/>
          <w:i w:val="0"/>
        </w:rPr>
        <w:t>SAN-01. Os deveres dos CRO e o relatório anual ficam sem coima (art. 140.º)</w:t>
      </w:r>
    </w:p>
    <w:p>
      <w:pPr>
        <w:spacing w:after="0"/>
        <w:ind w:left="567"/>
      </w:pPr>
      <w:r>
        <w:rPr>
          <w:b w:val="0"/>
          <w:i w:val="0"/>
        </w:rPr>
        <w:t>TIT-06. O abandono não aparece como contraordenação (art. 140.º)</w:t>
      </w:r>
    </w:p>
    <w:p>
      <w:pPr>
        <w:spacing w:after="0"/>
        <w:ind w:left="567"/>
      </w:pPr>
      <w:r>
        <w:rPr>
          <w:b w:val="0"/>
          <w:i w:val="0"/>
        </w:rPr>
        <w:t>TIT-11. Contraordenação dirigida só aos detentores (art. 140.º)</w:t>
      </w:r>
    </w:p>
    <w:p>
      <w:pPr>
        <w:spacing w:after="0"/>
        <w:ind w:left="567"/>
      </w:pPr>
      <w:r>
        <w:rPr>
          <w:b w:val="0"/>
          <w:i w:val="0"/>
        </w:rPr>
        <w:t>SAN-04.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FIN-01. A revogação total da Lei 92/95 apaga normas que não tratam de animais de companhia (art. 149.º)</w:t>
      </w:r>
    </w:p>
    <w:p>
      <w:pPr>
        <w:spacing w:after="0"/>
        <w:ind w:left="567"/>
      </w:pPr>
      <w:r>
        <w:rPr>
          <w:b w:val="0"/>
          <w:i w:val="0"/>
        </w:rPr>
        <w:t>FIN-02. O DL 74/2007 é ressalvado e revogado ao mesmo tempo (art. 149.º)</w:t>
      </w:r>
    </w:p>
    <w:p>
      <w:pPr>
        <w:spacing w:after="0"/>
        <w:ind w:left="567"/>
      </w:pPr>
      <w:r>
        <w:rPr>
          <w:b w:val="0"/>
          <w:i w:val="0"/>
        </w:rPr>
        <w:t>TIT-07. As portarias mantidas usam detentor no sentido antigo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anteriores</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formado pela sigla do seu tema principal e por um número sequencial dentro desse tema: TIT-01 é a primeira ficha de titularidade, CED-07 a sétima de CED. O código não depende da numeração do RGAC e nunca muda. Quando um problema fica resolvido, a ficha mantém-se com o estado Resolvido.</w:t>
      </w:r>
    </w:p>
    <w:p>
      <w:r>
        <w:rPr>
          <w:b w:val="0"/>
          <w:i w:val="0"/>
        </w:rPr>
        <w:t>Uma ficha pode tocar mais de um tema. O tema principal dá o código; os outros aparecem como etiquetas. O Anexo E junta as fichas de cada tema, incluindo as que o têm como tema secundário.</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TIT-01, TIT-03, TIT-09, TIT-14, TIT-18, TIT-19, TIT-13, TIT-16, TIT-12, TIT-02, TIT-08, TIT-10, TIT-05, TIT-17, TIT-04, TIT-15, TIT-20, TIT-21, PER-02, TIT-06, TIT-11, TIT-07.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CED-18, CED-12, CED-03, CED-17, CED-01, CED-02, CED-05, CED-06, CED-07, CED-08, CED-09, CED-11, CED-13, CED-14, CED-15, CED-16, CED-10, CED-04, CED-19, TIT-20.</w:t>
      </w:r>
    </w:p>
    <w:p>
      <w:r>
        <w:br w:type="page"/>
      </w:r>
    </w:p>
    <w:p>
      <w:pPr>
        <w:pStyle w:val="Heading1"/>
      </w:pPr>
      <w:r>
        <w:rPr>
          <w:i w:val="0"/>
          <w:color w:val="000000"/>
        </w:rPr>
        <w:t>3. Capítulo I. Disposições Gerais</w:t>
      </w:r>
    </w:p>
    <w:p>
      <w:pPr>
        <w:pStyle w:val="Heading2"/>
      </w:pPr>
      <w:r>
        <w:rPr>
          <w:i w:val="0"/>
          <w:color w:val="000000"/>
        </w:rPr>
        <w:t>REG-01.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CED-12).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CED-12, TIT-15</w:t>
            </w:r>
          </w:p>
        </w:tc>
      </w:tr>
    </w:tbl>
    <w:p/>
    <w:p>
      <w:pPr>
        <w:pStyle w:val="Heading2"/>
      </w:pPr>
      <w:r>
        <w:rPr>
          <w:i w:val="0"/>
          <w:color w:val="000000"/>
        </w:rPr>
        <w:t>TIT-01.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TIT-02, TIT-03</w:t>
            </w:r>
          </w:p>
        </w:tc>
      </w:tr>
    </w:tbl>
    <w:p/>
    <w:p>
      <w:pPr>
        <w:pStyle w:val="Heading2"/>
      </w:pPr>
      <w:r>
        <w:rPr>
          <w:i w:val="0"/>
          <w:color w:val="000000"/>
        </w:rPr>
        <w:t>TIT-03.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w:t>
            </w:r>
          </w:p>
        </w:tc>
      </w:tr>
    </w:tbl>
    <w:p/>
    <w:p>
      <w:pPr>
        <w:pStyle w:val="Heading2"/>
      </w:pPr>
      <w:r>
        <w:rPr>
          <w:i w:val="0"/>
          <w:color w:val="000000"/>
        </w:rPr>
        <w:t>TIT-14.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TIT-20).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TIT-13, CED-02, TIT-20</w:t>
            </w:r>
          </w:p>
        </w:tc>
      </w:tr>
    </w:tbl>
    <w:p/>
    <w:p>
      <w:pPr>
        <w:pStyle w:val="Heading2"/>
      </w:pPr>
      <w:r>
        <w:rPr>
          <w:i w:val="0"/>
          <w:color w:val="000000"/>
        </w:rPr>
        <w:t>TIT-18.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 TIT-06</w:t>
            </w:r>
          </w:p>
        </w:tc>
      </w:tr>
    </w:tbl>
    <w:p/>
    <w:p>
      <w:pPr>
        <w:pStyle w:val="Heading2"/>
      </w:pPr>
      <w:r>
        <w:rPr>
          <w:i w:val="0"/>
          <w:color w:val="000000"/>
        </w:rPr>
        <w:t>TIT-19.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TIT-03, e acrescentar uma norma supletiva: não havendo proprietário conhecido, é titular a entidade a quem a lei comete a responsabilidade pelo animal, designadamente a câmara municipal, através do CRO, nos casos de recolha e nos programas CED. Esta proposta qualifica a da ficha TIT-01: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TIT-02, TIT-03, CED-08</w:t>
            </w:r>
          </w:p>
        </w:tc>
      </w:tr>
    </w:tbl>
    <w:p/>
    <w:p>
      <w:r>
        <w:br w:type="page"/>
      </w:r>
    </w:p>
    <w:p>
      <w:pPr>
        <w:pStyle w:val="Heading1"/>
      </w:pPr>
      <w:r>
        <w:rPr>
          <w:i w:val="0"/>
          <w:color w:val="000000"/>
        </w:rPr>
        <w:t>4. Capítulo II. Princípios Gerais</w:t>
      </w:r>
    </w:p>
    <w:p>
      <w:pPr>
        <w:pStyle w:val="Heading2"/>
      </w:pPr>
      <w:r>
        <w:rPr>
          <w:i w:val="0"/>
          <w:color w:val="000000"/>
        </w:rPr>
        <w:t>TIT-13.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CED-08</w:t>
            </w:r>
          </w:p>
        </w:tc>
      </w:tr>
    </w:tbl>
    <w:p/>
    <w:p>
      <w:pPr>
        <w:pStyle w:val="Heading2"/>
      </w:pPr>
      <w:r>
        <w:rPr>
          <w:i w:val="0"/>
          <w:color w:val="000000"/>
        </w:rPr>
        <w:t>TIT-16.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CED-10</w:t>
            </w:r>
          </w:p>
        </w:tc>
      </w:tr>
    </w:tbl>
    <w:p/>
    <w:p>
      <w:pPr>
        <w:pStyle w:val="Heading2"/>
      </w:pPr>
      <w:r>
        <w:rPr>
          <w:i w:val="0"/>
          <w:color w:val="000000"/>
        </w:rPr>
        <w:t>BEM-01.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TIT-12.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BEM-02.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TIT-21).</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TIT-21</w:t>
            </w:r>
          </w:p>
        </w:tc>
      </w:tr>
    </w:tbl>
    <w:p/>
    <w:p>
      <w:pPr>
        <w:pStyle w:val="Heading2"/>
      </w:pPr>
      <w:r>
        <w:rPr>
          <w:i w:val="0"/>
          <w:color w:val="000000"/>
        </w:rPr>
        <w:t>EST-01.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artigo que ainda não existe. Hoje a cadeia funciona por arrastamento: a câmara recolhe (DL 276/2001, art. 3.º-G, n.º 6), os animais entram no CRO e seguem o regime do CRO (DL 276/2001, art. 19.º, n.ºs 3 e 4; DL 314/2003, art. 9.º; Lei 27/2016, art. 3.º, n.º 1; DL 82/2019, art. 11.º, n.º 5). O que falta é a remissão expressa, uma regra de capacidade do CRO para efetivos grandes, a imputação dos encargos ao titular quando não reclama os animais, e a ressalva dos animais apreendidos em processo penal (CPP, arts. 178.º e 186.º) ou ao abrigo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SAN-04).</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SAN-04, SAN-03, SAN-02, BEM-02</w:t>
            </w:r>
          </w:p>
        </w:tc>
      </w:tr>
    </w:tbl>
    <w:p/>
    <w:p>
      <w:r>
        <w:br w:type="page"/>
      </w:r>
    </w:p>
    <w:p>
      <w:pPr>
        <w:pStyle w:val="Heading1"/>
      </w:pPr>
      <w:r>
        <w:rPr>
          <w:i w:val="0"/>
          <w:color w:val="000000"/>
        </w:rPr>
        <w:t>6. Capítulo VI. Meios de contenção</w:t>
      </w:r>
    </w:p>
    <w:p>
      <w:pPr>
        <w:pStyle w:val="Heading2"/>
      </w:pPr>
      <w:r>
        <w:rPr>
          <w:i w:val="0"/>
          <w:color w:val="000000"/>
        </w:rPr>
        <w:t>CED-12.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TIT-02.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(TIT-01),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TIT-01, TIT-14</w:t>
            </w:r>
          </w:p>
        </w:tc>
      </w:tr>
    </w:tbl>
    <w:p/>
    <w:p>
      <w:pPr>
        <w:pStyle w:val="Heading2"/>
      </w:pPr>
      <w:r>
        <w:rPr>
          <w:i w:val="0"/>
          <w:color w:val="000000"/>
        </w:rPr>
        <w:t>TIT-08.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TIT-10.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TIT-05.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TIT-04, TIT-06</w:t>
            </w:r>
          </w:p>
        </w:tc>
      </w:tr>
    </w:tbl>
    <w:p/>
    <w:p>
      <w:pPr>
        <w:pStyle w:val="Heading2"/>
      </w:pPr>
      <w:r>
        <w:rPr>
          <w:i w:val="0"/>
          <w:color w:val="000000"/>
        </w:rPr>
        <w:t>TIT-17.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(TIT-05).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r>
        <w:br w:type="page"/>
      </w:r>
    </w:p>
    <w:p>
      <w:pPr>
        <w:pStyle w:val="Heading1"/>
      </w:pPr>
      <w:r>
        <w:rPr>
          <w:i w:val="0"/>
          <w:color w:val="000000"/>
        </w:rPr>
        <w:t>8. Capítulo X. Gestão das populações animais</w:t>
      </w:r>
    </w:p>
    <w:p>
      <w:pPr>
        <w:pStyle w:val="Heading2"/>
      </w:pPr>
      <w:r>
        <w:rPr>
          <w:i w:val="0"/>
          <w:color w:val="000000"/>
        </w:rPr>
        <w:t>CED-03.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(CED-02) e com o CED dependente de autorização (CED-01),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CED-09</w:t>
            </w:r>
          </w:p>
        </w:tc>
      </w:tr>
    </w:tbl>
    <w:p/>
    <w:p>
      <w:pPr>
        <w:pStyle w:val="Heading2"/>
      </w:pPr>
      <w:r>
        <w:rPr>
          <w:i w:val="0"/>
          <w:color w:val="000000"/>
        </w:rPr>
        <w:t>CED-01.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CED-19).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CED-19</w:t>
            </w:r>
          </w:p>
        </w:tc>
      </w:tr>
    </w:tbl>
    <w:p/>
    <w:p>
      <w:pPr>
        <w:pStyle w:val="Heading2"/>
      </w:pPr>
      <w:r>
        <w:rPr>
          <w:i w:val="0"/>
          <w:color w:val="000000"/>
        </w:rPr>
        <w:t>CED-02.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(TIT-13) e à proibição de alimentar (CED-03).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CED-03, TIT-13, TIT-14</w:t>
            </w:r>
          </w:p>
        </w:tc>
      </w:tr>
    </w:tbl>
    <w:p/>
    <w:p>
      <w:pPr>
        <w:pStyle w:val="Heading2"/>
      </w:pPr>
      <w:r>
        <w:rPr>
          <w:i w:val="0"/>
          <w:color w:val="000000"/>
        </w:rPr>
        <w:t>CED-05.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TIT-13, CED-04</w:t>
            </w:r>
          </w:p>
        </w:tc>
      </w:tr>
    </w:tbl>
    <w:p/>
    <w:p>
      <w:pPr>
        <w:pStyle w:val="Heading2"/>
      </w:pPr>
      <w:r>
        <w:rPr>
          <w:i w:val="0"/>
          <w:color w:val="000000"/>
        </w:rPr>
        <w:t>CED-09.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CED-02</w:t>
            </w:r>
          </w:p>
        </w:tc>
      </w:tr>
    </w:tbl>
    <w:p/>
    <w:p>
      <w:pPr>
        <w:pStyle w:val="Heading2"/>
      </w:pPr>
      <w:r>
        <w:rPr>
          <w:i w:val="0"/>
          <w:color w:val="000000"/>
        </w:rPr>
        <w:t>CED-11.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TIT-15</w:t>
            </w:r>
          </w:p>
        </w:tc>
      </w:tr>
    </w:tbl>
    <w:p/>
    <w:p>
      <w:pPr>
        <w:pStyle w:val="Heading2"/>
      </w:pPr>
      <w:r>
        <w:rPr>
          <w:i w:val="0"/>
          <w:color w:val="000000"/>
        </w:rPr>
        <w:t>CED-14.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CED-07</w:t>
            </w:r>
          </w:p>
        </w:tc>
      </w:tr>
    </w:tbl>
    <w:p/>
    <w:p>
      <w:pPr>
        <w:pStyle w:val="Heading2"/>
      </w:pPr>
      <w:r>
        <w:rPr>
          <w:i w:val="0"/>
          <w:color w:val="000000"/>
        </w:rPr>
        <w:t>CED-15.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CED-16.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CED-14</w:t>
            </w:r>
          </w:p>
        </w:tc>
      </w:tr>
    </w:tbl>
    <w:p/>
    <w:p>
      <w:pPr>
        <w:pStyle w:val="Heading2"/>
      </w:pPr>
      <w:r>
        <w:rPr>
          <w:i w:val="0"/>
          <w:color w:val="000000"/>
        </w:rPr>
        <w:t>CED-10.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TIT-16</w:t>
            </w:r>
          </w:p>
        </w:tc>
      </w:tr>
    </w:tbl>
    <w:p/>
    <w:p>
      <w:pPr>
        <w:pStyle w:val="Heading2"/>
      </w:pPr>
      <w:r>
        <w:rPr>
          <w:i w:val="0"/>
          <w:color w:val="000000"/>
        </w:rPr>
        <w:t>CED-04.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CED-08</w:t>
            </w:r>
          </w:p>
        </w:tc>
      </w:tr>
    </w:tbl>
    <w:p/>
    <w:p>
      <w:pPr>
        <w:pStyle w:val="Heading2"/>
      </w:pPr>
      <w:r>
        <w:rPr>
          <w:i w:val="0"/>
          <w:color w:val="000000"/>
        </w:rPr>
        <w:t>CED-19.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w:t>
            </w:r>
          </w:p>
        </w:tc>
      </w:tr>
    </w:tbl>
    <w:p/>
    <w:p>
      <w:pPr>
        <w:pStyle w:val="Heading2"/>
      </w:pPr>
      <w:r>
        <w:rPr>
          <w:i w:val="0"/>
          <w:color w:val="000000"/>
        </w:rPr>
        <w:t>SAN-02.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FIN-01)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 SAN-03, TIT-21</w:t>
            </w:r>
          </w:p>
        </w:tc>
      </w:tr>
    </w:tbl>
    <w:p/>
    <w:p>
      <w:pPr>
        <w:pStyle w:val="Heading2"/>
      </w:pPr>
      <w:r>
        <w:rPr>
          <w:i w:val="0"/>
          <w:color w:val="000000"/>
        </w:rPr>
        <w:t>TIT-15.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CED-04).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CED-02, CED-16, CED-04, TIT-20</w:t>
            </w:r>
          </w:p>
        </w:tc>
      </w:tr>
    </w:tbl>
    <w:p/>
    <w:p>
      <w:pPr>
        <w:pStyle w:val="Heading2"/>
      </w:pPr>
      <w:r>
        <w:rPr>
          <w:i w:val="0"/>
          <w:color w:val="000000"/>
        </w:rPr>
        <w:t>TIT-20.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TIT-15).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TIT-14, TIT-15</w:t>
            </w:r>
          </w:p>
        </w:tc>
      </w:tr>
    </w:tbl>
    <w:p/>
    <w:p>
      <w:pPr>
        <w:pStyle w:val="Heading2"/>
      </w:pPr>
      <w:r>
        <w:rPr>
          <w:i w:val="0"/>
          <w:color w:val="000000"/>
        </w:rPr>
        <w:t>TIT-21.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BEM-02, TIT-05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PER-02. Associação titular de cão perigoso: falta a regra da licença e a adoção fica entre duas normas contrárias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6 e 7</w:t>
            </w:r>
          </w:p>
          <w:p>
            <w:pPr>
              <w:spacing w:after="60"/>
            </w:pPr>
            <w:r>
              <w:rPr>
                <w:b w:val="0"/>
                <w:sz w:val="20"/>
              </w:rPr>
              <w:t>art. 110.º, n.ºs 1 e 3</w:t>
            </w:r>
          </w:p>
          <w:p>
            <w:pPr>
              <w:spacing w:after="60"/>
            </w:pPr>
            <w:r>
              <w:rPr>
                <w:b w:val="0"/>
                <w:sz w:val="20"/>
              </w:rPr>
              <w:t>art. 81.º, n.ºs 2 e 3</w:t>
            </w:r>
          </w:p>
          <w:p>
            <w:pPr>
              <w:spacing w:after="60"/>
            </w:pPr>
            <w:r>
              <w:rPr>
                <w:b w:val="0"/>
                <w:sz w:val="20"/>
              </w:rPr>
              <w:t>art. 127.º, n.º 4</w:t>
            </w:r>
          </w:p>
          <w:p>
            <w:pPr>
              <w:spacing w:after="60"/>
            </w:pPr>
            <w:r>
              <w:rPr>
                <w:b w:val="0"/>
                <w:sz w:val="20"/>
              </w:rPr>
              <w:t>DL 315/2009, art. 3.º, al. f), art. 5.º, n.º 1, e art. 20.º, n.º 4</w:t>
            </w:r>
          </w:p>
          <w:p>
            <w:pPr>
              <w:spacing w:after="60"/>
            </w:pPr>
            <w:r>
              <w:rPr>
                <w:b w:val="0"/>
                <w:sz w:val="20"/>
              </w:rPr>
              <w:t>DL 82/2019, art. 9.º, n.º 5, e art. 27.º, n.ºs 1 e 3</w:t>
            </w:r>
          </w:p>
          <w:p>
            <w:pPr>
              <w:spacing w:after="60"/>
            </w:pPr>
            <w:r>
              <w:rPr>
                <w:b w:val="0"/>
                <w:sz w:val="20"/>
              </w:rPr>
              <w:t>Artigo principal: art. 110.º, Detenção de cães perigosos ou potencialmente perigosos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 DL 82/2019 admite pessoas coletivas como titulares no SIAC e refere os centros de alojamento sem fins lucrativos (art. 9.º, n.º 5, na redação da Lei 2/2020). O DL 315/2009 só conhece o detentor pessoa singular, maior de 16 anos (art. 3.º, al. f)), e a licença é emitida pela junta de freguesia da área de residência do detentor (art. 5.º, n.º 1). Quando uma associação recebe um cão perigoso, a lei não diz em nome de quem se pede a licença. O DL 82/2019 manda o titular «assegurar o licenciamento» (art. 27.º, n.º 3) na junta da área de recenseamento do titular (n.º 1), que uma pessoa coletiva não tem.</w:t>
            </w:r>
          </w:p>
          <w:p>
            <w:pPr>
              <w:spacing w:after="60"/>
            </w:pPr>
            <w:r>
              <w:rPr>
                <w:b w:val="0"/>
                <w:sz w:val="20"/>
              </w:rPr>
              <w:t>O RGAC resolve a titularidade: só pessoa singular, maior de 16 anos, salvo município ou associação zoófila com estabelecimento licenciado (art. 69.º, n.ºs 6 e 7). Mas a licença continua pensada só para a pessoa singular: é emitida pela junta da «área de residência do titular» (art. 110.º, n.º 1) e pedida pelo «titular, pessoa singular, maior de 16 anos» (n.º 3). Quando o titular é o município ou a associação, ninguém cabe na norma.</w:t>
            </w:r>
          </w:p>
          <w:p>
            <w:pPr>
              <w:spacing w:after="60"/>
            </w:pPr>
            <w:r>
              <w:rPr>
                <w:b w:val="0"/>
                <w:sz w:val="20"/>
              </w:rPr>
              <w:t>Na adoção, o art. 81.º, n.ºs 2 e 3 obriga as associações zoófilas a listar na plataforma nacional de adoção todos os animais em condições de serem adotados, com fotografia e perfil comportamental. O art. 127.º, n.º 4 proíbe a «comercialização e publicidade de animais perigosos». Hoje a mesma proibição está no DL 315/2009, art. 20.º, n.º 4. Para um cão perigoso apto para adoção, as duas normas apontam em sentidos contrários, e nada diz se divulgar para adoção é publicidade.</w:t>
            </w:r>
          </w:p>
        </w:tc>
      </w:tr>
      <w:tr>
        <w:tc>
          <w:tcPr>
            <w:tcW w:w="1984" w:type="dxa"/>
          </w:tcPr>
          <w:p>
            <w:pPr>
              <w:spacing w:after="60"/>
            </w:pPr>
            <w:r/>
            <w:r>
              <w:rPr>
                <w:b/>
                <w:sz w:val="20"/>
              </w:rPr>
              <w:t>Proposta</w:t>
            </w:r>
          </w:p>
        </w:tc>
        <w:tc>
          <w:tcPr>
            <w:tcW w:w="7087" w:type="dxa"/>
          </w:tcPr>
          <w:p>
            <w:pPr>
              <w:spacing w:after="60"/>
            </w:pPr>
            <w:r/>
            <w:r>
              <w:rPr>
                <w:b w:val="0"/>
                <w:sz w:val="20"/>
              </w:rPr>
              <w:t>(i) No art. 110.º, prever que, sendo titular um município ou uma associação zoófila, a licença é pedida pelo titular e emitida em nome da pessoa singular, maior de 16 anos, responsável pela guarda do animal, na junta da área do estabelecimento; a idoneidade e a formação exigem-se a essa pessoa. (ii) No art. 127.º, n.º 4, ressalvar a divulgação para adoção por CRO e associações zoófilas na plataforma do art. 81.º, com indicação de que o animal é perigoso e dos requisitos que o adotante tem de cumprir. Em alternativa, excluir os animais perigosos do dever de listagem do art. 81.º, n.º 3.</w:t>
            </w:r>
          </w:p>
        </w:tc>
      </w:tr>
      <w:tr>
        <w:tc>
          <w:tcPr>
            <w:tcW w:w="1984" w:type="dxa"/>
          </w:tcPr>
          <w:p>
            <w:pPr>
              <w:spacing w:after="60"/>
            </w:pPr>
            <w:r/>
            <w:r>
              <w:rPr>
                <w:b/>
                <w:sz w:val="20"/>
              </w:rPr>
              <w:t>Quem levantou</w:t>
            </w:r>
          </w:p>
        </w:tc>
        <w:tc>
          <w:tcPr>
            <w:tcW w:w="7087" w:type="dxa"/>
          </w:tcPr>
          <w:p>
            <w:pPr>
              <w:spacing w:after="60"/>
            </w:pPr>
            <w:r/>
            <w:r>
              <w:rPr>
                <w:b w:val="0"/>
                <w:sz w:val="20"/>
              </w:rPr>
              <w:t>Análise interna (23.10.2026), a propósito do pedido de esclarecimento de uma associação zoófila que passou a titular de um cão classificado como perigoso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TIT-08, PER-01</w:t>
            </w:r>
          </w:p>
        </w:tc>
      </w:tr>
    </w:tbl>
    <w:p/>
    <w:p>
      <w:pPr>
        <w:pStyle w:val="Heading2"/>
      </w:pPr>
      <w:r>
        <w:rPr>
          <w:i w:val="0"/>
          <w:color w:val="000000"/>
        </w:rPr>
        <w:t>PER-01.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Também não diz se a «prova em contrário» pode ser uma avaliação de comportamento. Nas als. a) e b) do n.º 1 do art. 120.º, a classificação resulta de um facto: ter mordido, atacado ou ofendido uma pessoa, ou ter ferido gravemente ou morto outro animal. Um cão dócil numa avaliação posterior pode ter praticado o facto. O que afasta a classificação é a prova de que o facto não ocorreu ou de que o agressor foi outro animal.</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e dizer que, nas als. a) e b) do n.º 1, a avaliação de comportamento não basta.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 Análise interna (22.10.2026), a propósito do pedido de um MVM para retirar a classificação de um cão sem prova de que tenha sido o agressor</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SAN-05. O dever geral de colaboração de terceiros e a coima por recusa de informações não passam para o RGAC</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138.º, n.ºs 1 e 3</w:t>
            </w:r>
          </w:p>
          <w:p>
            <w:pPr>
              <w:spacing w:after="60"/>
            </w:pPr>
            <w:r>
              <w:rPr>
                <w:b w:val="0"/>
                <w:sz w:val="20"/>
              </w:rPr>
              <w:t>art. 140.º, n.º 2, al. i)</w:t>
            </w:r>
          </w:p>
          <w:p>
            <w:pPr>
              <w:spacing w:after="60"/>
            </w:pPr>
            <w:r>
              <w:rPr>
                <w:b w:val="0"/>
                <w:sz w:val="20"/>
              </w:rPr>
              <w:t>art. 54.º, n.º 1</w:t>
            </w:r>
          </w:p>
          <w:p>
            <w:pPr>
              <w:spacing w:after="60"/>
            </w:pPr>
            <w:r>
              <w:rPr>
                <w:b w:val="0"/>
                <w:sz w:val="20"/>
              </w:rPr>
              <w:t>art. 137.º, n.º 4</w:t>
            </w:r>
          </w:p>
          <w:p>
            <w:pPr>
              <w:spacing w:after="60"/>
            </w:pPr>
            <w:r>
              <w:rPr>
                <w:b w:val="0"/>
                <w:sz w:val="20"/>
              </w:rPr>
              <w:t>art. 108.º, n.º 2, al. c)</w:t>
            </w:r>
          </w:p>
          <w:p>
            <w:pPr>
              <w:spacing w:after="60"/>
            </w:pPr>
            <w:r>
              <w:rPr>
                <w:b w:val="0"/>
                <w:sz w:val="20"/>
              </w:rPr>
              <w:t>art. 109.º, n.ºs 2 e 3</w:t>
            </w:r>
          </w:p>
          <w:p>
            <w:pPr>
              <w:spacing w:after="60"/>
            </w:pPr>
            <w:r>
              <w:rPr>
                <w:b w:val="0"/>
                <w:sz w:val="20"/>
              </w:rPr>
              <w:t>Artigo principal: art. 138.º, Fiscalização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67.º, n.º 3, dispõe: «As autoridades administrativas, policiais e as pessoas singulares e coletivas devem prestar toda a colaboração necessária às inspeções e ações de controlo a efetuar no âmbito do presente diploma». O art. 68.º, n.º 1, al. d), pune como contraordenação económica grave «A negação ou inviabilização de dados ou de informações requeridos pelas autoridades competentes ou seus agentes, em ordem ao cumprimento de funções estabelecidas neste diploma, assim como a prestação de informações inexatas ou falsas», com instrução pela DGAV ou pelos órgãos de polícia criminal (art. 70.º, n.º 1). As duas normas valem para qualquer pessoa, e não só para o titular do alojamento. É com elas que a DGAV pede dados a terceiros: à entidade que gere o livro de origens, sobre as ninhadas e o afixo de um criador sem comunicação prévia; às plataformas em linha, sobre quem publica um anúncio; aos centros de atendimento médico-veterinário, sobre os animais que assistem.</w:t>
            </w:r>
          </w:p>
          <w:p>
            <w:pPr>
              <w:spacing w:after="60"/>
            </w:pPr>
            <w:r>
              <w:rPr>
                <w:b w:val="0"/>
                <w:sz w:val="20"/>
              </w:rPr>
              <w:t>O RGAC não tem norma geral equivalente. O art. 138.º, n.º 1, diz quem fiscaliza. O n.º 3 trata só da «criação de obstáculos ou impedimentos à fiscalização de alojamentos ou de animais», e a resposta é o mandado judicial de acesso e remoção. O art. 54.º, n.º 1, obriga a facultar o acesso ao estabelecimento, mas só «o titular da exploração». O art. 137.º, n.º 4, manda prestar colaboração às «autoridades competentes, os serviços da administração local ou outras entidades que vierem a ser designadas para o efeito», e só na execução das medidas desse artigo. O art. 108.º, n.º 2, al. c), exige às organizações de criadores que gerem os livros genealógicos «Satisfazer os controlos da autoridade competente» quanto ao seu funcionamento e às genealogias. O art. 109.º, n.º 2, dispõe: «A entidade gestora do LOP disponibiliza à DGAV todas as informações solicitadas para efeito de controlo oficial», e o n.º 3 manda-lhe enviar à DGAV, até ao fim do primeiro trimestre, um relatório anual das inscrições por raça. É a única norma do RGAC que obriga um terceiro a responder a pedidos de dados. Vale só para a entidade gestora do LOP e não tem coima no art. 140.º.</w:t>
            </w:r>
          </w:p>
          <w:p>
            <w:pPr>
              <w:spacing w:after="60"/>
            </w:pPr>
            <w:r>
              <w:rPr>
                <w:b w:val="0"/>
                <w:sz w:val="20"/>
              </w:rPr>
              <w:t>Hoje a entidade gestora do LOP é o Clube Português de Canicultura, sem ato de reconhecimento pela DGAV publicado. O regulamento do LOP do Clube diz que o registo foi criado em 1932 «conforme despacho ministerial de 29 de Março de 1939 (Diário do Governo, n.º 91, 3ª Série de 20 de Abril de 1939)» e que a comissão que decide os registos é «assistido por um Delegado da Direcção Geral de Veterinária». O DL 276/2001 define o animal de raça pura pelo registo «no livro de origens português» (art. 2.º, n.º 1, al. bb), e art. 53.º, n.º 3) e o DL 315/2009 fala em «livro de origens oficialmente reconhecido» (arts. 16.º, n.ºs 2 e 4, e 19.º, n.º 3), sem dizer quem o reconhece. O Despacho n.º 15262/2012, que aprova as unidades orgânicas da DGAV, dá ao Gabinete de Recursos Genéticos Animais a competência de «Controlar a atividade delegada às associações de criadores, respeitante à gestão dos livros genealógicos», e o sítio da DGAV remete para o Clube como «entidade gestora dos Livros Genealógicos» das raças caninas autóctones. A orgânica da DGAV, Decreto Regulamentar n.º 31/2012, art. 2.º, n.º 2, al. p), na redação do Decreto Regulamentar n.º 4/2025, manda «Superintender a gestão dos livros genealógicos geridos pelas associações de criadores reconhecidas para todas as espécies animais, designadamente homologação dos secretários técnicos, aprovação de regulamentos e acompanhamento e verificação do seu cumprimento», e as als. jj) e mm) dão-lhe a definição e a aplicação das políticas de criação e comércio de animais de companhia e o cumprimento das regras aplicáveis. O regime zootécnico do DL 59/2022, que executa o Regulamento (UE) 2016/1012, só abrange as espécies bovina, suína, ovina, caprina e equina. O art. 108.º do RGAC cria pela primeira vez um reconhecimento por despacho do diretor-geral para os animais de companhia.</w:t>
            </w:r>
          </w:p>
          <w:p>
            <w:pPr>
              <w:spacing w:after="60"/>
            </w:pPr>
            <w:r>
              <w:rPr>
                <w:b w:val="0"/>
                <w:sz w:val="20"/>
              </w:rPr>
              <w:t>No art. 140.º, n.º 2, a única alínea próxima é a segunda al. i) (ver L-11): «A oposição ou a criação de obstáculos à execução de medida prevista no presente diploma, que tenha sido regularmente comunicada e emanada de autoridade ou funcionário competente». Um pedido de informações não é uma medida. A recusa de dados, o silêncio e a informação falsa ficam sem coima. A SAN-01 já nota que a al. d) do DL 276/2001 só abrange dados pedidos para funções desse decreto-lei. Com a revogação do DL 276/2001, a al. d) desaparece sem substituto.</w:t>
            </w:r>
          </w:p>
          <w:p>
            <w:pPr>
              <w:spacing w:after="60"/>
            </w:pPr>
            <w:r>
              <w:rPr>
                <w:b w:val="0"/>
                <w:sz w:val="20"/>
              </w:rPr>
              <w:t>As regras gerais não suprem a falta. O CPA, art. 60.º, n.º 1, manda cooperar «os órgãos da Administração Pública e os interessados» no procedimento, e o terceiro a quem se pedem dados não é interessado. O auxílio administrativo (CPA, art. 66.º, n.º 1) só se pede a «quaisquer outros órgãos da Administração Pública». A Lei 36/2021, anexo (Lei-Quadro do Estatuto de Utilidade Pública), art. 12.º, n.º 1, al. h), obriga as pessoas coletivas com estatuto de utilidade pública a «Prestar todas as informações e disponibilizar todos os documentos solicitados por quaisquer entidades públicas com competências para o efeito», mas só vale para essas entidades e enquanto o estatuto durar. O RGPD, art. 6.º, n.º 1, al. c), legitima o tratamento «necessário para o cumprimento de uma obrigação jurídica a que o responsável pelo tratamento esteja sujeito»: é a norma do DL 276/2001 que hoje dá ao terceiro a obrigação jurídica para transmitir dados pessoais dos seus associados ou clientes. Sem norma no RGAC, o terceiro tem de encontrar outro fundamento ou recusar.</w:t>
            </w:r>
          </w:p>
          <w:p>
            <w:pPr>
              <w:spacing w:after="60"/>
            </w:pPr>
            <w:r>
              <w:rPr>
                <w:b w:val="0"/>
                <w:sz w:val="20"/>
              </w:rPr>
              <w:t>O Regulamento (UE) 2026/1818 remete os controlos oficiais para o Regulamento (UE) 2017/625 (considerandos 31 e 32) e manda os Estados-Membros fixar sanções efetivas, proporcionadas e dissuasivas (art. 32.º, ver SAN-01). Não tem norma geral que obrigue terceiros a responder aos pedidos de dados das autoridades nacionais. A norma nacional continua a ser necessária.</w:t>
            </w:r>
          </w:p>
        </w:tc>
      </w:tr>
      <w:tr>
        <w:tc>
          <w:tcPr>
            <w:tcW w:w="1984" w:type="dxa"/>
          </w:tcPr>
          <w:p>
            <w:pPr>
              <w:spacing w:after="60"/>
            </w:pPr>
            <w:r/>
            <w:r>
              <w:rPr>
                <w:b/>
                <w:sz w:val="20"/>
              </w:rPr>
              <w:t>Proposta</w:t>
            </w:r>
          </w:p>
        </w:tc>
        <w:tc>
          <w:tcPr>
            <w:tcW w:w="7087" w:type="dxa"/>
          </w:tcPr>
          <w:p>
            <w:pPr>
              <w:spacing w:after="60"/>
            </w:pPr>
            <w:r/>
            <w:r>
              <w:rPr>
                <w:b w:val="0"/>
                <w:sz w:val="20"/>
              </w:rPr>
              <w:t>Repor no art. 138.º o dever do DL 276/2001, art. 67.º, n.º 3, alargado aos pedidos de dados: as autoridades administrativas e policiais e as pessoas singulares e coletivas prestam toda a colaboração necessária às inspeções, às ações de controlo e aos pedidos de informação e de documentos das autoridades referidas no n.º 1, no prazo que estas fixarem. Nomear as entidades que mais vezes detêm os dados: organizações que gerem livros genealógicos, plataformas em linha, centros de atendimento médico-veterinário e transportadores. Aditar ao art. 140.º, n.º 2, a contraordenação do DL 276/2001, art. 68.º, n.º 1, al. d): negação ou inviabilização de dados ou de informações requeridos pelas autoridades competentes e prestação de informações inexatas ou falsas, abrangendo a recusa e o atraso da entidade gestora do LOP. No art. 109.º, n.º 2, dizer que as informações abrangem os registos de ninhadas, reprodutores e afixos de um criador identificado, com prazo de resposta. No art. 108.º, prever a decisão da DGAV sobre a entidade que hoje gere o LOP, para que o reconhecimento deixe de assentar só no despacho de 1939. Com estas normas, a transmissão de dados pessoais fica coberta pelo RGPD, art. 6.º, n.º 1, al. c), do lado do terceiro, e al. e), do lado da DGAV.</w:t>
            </w:r>
          </w:p>
        </w:tc>
      </w:tr>
      <w:tr>
        <w:tc>
          <w:tcPr>
            <w:tcW w:w="1984" w:type="dxa"/>
          </w:tcPr>
          <w:p>
            <w:pPr>
              <w:spacing w:after="60"/>
            </w:pPr>
            <w:r/>
            <w:r>
              <w:rPr>
                <w:b/>
                <w:sz w:val="20"/>
              </w:rPr>
              <w:t>Quem levantou</w:t>
            </w:r>
          </w:p>
        </w:tc>
        <w:tc>
          <w:tcPr>
            <w:tcW w:w="7087" w:type="dxa"/>
          </w:tcPr>
          <w:p>
            <w:pPr>
              <w:spacing w:after="60"/>
            </w:pPr>
            <w:r/>
            <w:r>
              <w:rPr>
                <w:b w:val="0"/>
                <w:sz w:val="20"/>
              </w:rPr>
              <w:t>Análise interna (22.10.2026), a propósito de uma denúncia de criação comercial sem comunicação prévia e do pedido de esclarecimento à entidade que gere o livro de origens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w:t>
            </w:r>
          </w:p>
        </w:tc>
      </w:tr>
    </w:tbl>
    <w:p/>
    <w:p>
      <w:pPr>
        <w:pStyle w:val="Heading2"/>
      </w:pPr>
      <w:r>
        <w:rPr>
          <w:i w:val="0"/>
          <w:color w:val="000000"/>
        </w:rPr>
        <w:t>SAN-03.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SAN-02, TIT-21, SAN-01</w:t>
            </w:r>
          </w:p>
        </w:tc>
      </w:tr>
    </w:tbl>
    <w:p/>
    <w:p>
      <w:pPr>
        <w:pStyle w:val="Heading2"/>
      </w:pPr>
      <w:r>
        <w:rPr>
          <w:i w:val="0"/>
          <w:color w:val="000000"/>
        </w:rPr>
        <w:t>SAN-01.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CED-17);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TIT-06). Ponderar uma norma geral como a da Lei 92/95, art. 12.º, n.º 1, ou pelo menos coima expressa, com a gravidade que hoje tem no DL 276/2001 (art. 68.º, n.º 2, al. d)), para o art. 8.º, n.º 1 (morte sem motivo legítimo). Ver FIN-01.</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CED-17, TIT-06, TIT-11, CED-19, FIN-01</w:t>
            </w:r>
          </w:p>
        </w:tc>
      </w:tr>
    </w:tbl>
    <w:p/>
    <w:p>
      <w:pPr>
        <w:pStyle w:val="Heading2"/>
      </w:pPr>
      <w:r>
        <w:rPr>
          <w:i w:val="0"/>
          <w:color w:val="000000"/>
        </w:rPr>
        <w:t>TIT-06.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TIT-05</w:t>
            </w:r>
          </w:p>
        </w:tc>
      </w:tr>
    </w:tbl>
    <w:p/>
    <w:p>
      <w:pPr>
        <w:pStyle w:val="Heading2"/>
      </w:pPr>
      <w:r>
        <w:rPr>
          <w:i w:val="0"/>
          <w:color w:val="000000"/>
        </w:rPr>
        <w:t>TIT-11.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TIT-06</w:t>
            </w:r>
          </w:p>
        </w:tc>
      </w:tr>
    </w:tbl>
    <w:p/>
    <w:p>
      <w:pPr>
        <w:pStyle w:val="Heading2"/>
      </w:pPr>
      <w:r>
        <w:rPr>
          <w:i w:val="0"/>
          <w:color w:val="000000"/>
        </w:rPr>
        <w:t>SAN-04.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EST-01, SAN-03</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FIN-01.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SAN-01).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SAN-01, TIT-06</w:t>
            </w:r>
          </w:p>
        </w:tc>
      </w:tr>
    </w:tbl>
    <w:p/>
    <w:p>
      <w:pPr>
        <w:pStyle w:val="Heading2"/>
      </w:pPr>
      <w:r>
        <w:rPr>
          <w:i w:val="0"/>
          <w:color w:val="000000"/>
        </w:rPr>
        <w:t>FIN-02.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FIN-01</w:t>
            </w:r>
          </w:p>
        </w:tc>
      </w:tr>
    </w:tbl>
    <w:p/>
    <w:p>
      <w:pPr>
        <w:pStyle w:val="Heading2"/>
      </w:pPr>
      <w:r>
        <w:rPr>
          <w:i w:val="0"/>
          <w:color w:val="000000"/>
        </w:rPr>
        <w:t>TIT-07.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(TIT-07).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84"/>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REG-01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TIT-19</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TIT-13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BEM-01</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TIT-12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BEM-02</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EST-01</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CED-12</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TIT-02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TIT-05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CED-03</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CED-17</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CED-01</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CED-02</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CED-05</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CED-06</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CED-07</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CED-08</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CED-09</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CED-11</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CED-13</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CED-14</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CED-15</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CED-16</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CED-10</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CED-04</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CED-19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SAN-02</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TIT-20</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TIT-21</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PER-02</w:t>
            </w:r>
          </w:p>
        </w:tc>
        <w:tc>
          <w:tcPr>
            <w:tcW w:w="4309" w:type="dxa"/>
          </w:tcPr>
          <w:p>
            <w:pPr>
              <w:spacing w:after="60"/>
            </w:pPr>
            <w:r/>
            <w:r>
              <w:rPr>
                <w:b w:val="0"/>
                <w:sz w:val="20"/>
              </w:rPr>
              <w:t>Associação titular de cão perigoso: falta a regra da licença e a adoção fica entre duas normas contrárias</w:t>
            </w:r>
          </w:p>
        </w:tc>
        <w:tc>
          <w:tcPr>
            <w:tcW w:w="3628" w:type="dxa"/>
          </w:tcPr>
          <w:p>
            <w:pPr>
              <w:spacing w:after="60"/>
            </w:pPr>
            <w:r/>
            <w:r>
              <w:rPr>
                <w:b w:val="0"/>
                <w:sz w:val="20"/>
              </w:rPr>
              <w:t>art. 110.º, Detenção de cães perigosos ou potencialmente perigosos</w:t>
            </w:r>
          </w:p>
        </w:tc>
        <w:tc>
          <w:tcPr>
            <w:tcW w:w="2381" w:type="dxa"/>
          </w:tcPr>
          <w:p>
            <w:pPr>
              <w:spacing w:after="60"/>
            </w:pPr>
            <w:r/>
            <w:r>
              <w:rPr>
                <w:b w:val="0"/>
                <w:sz w:val="20"/>
              </w:rPr>
              <w:t>Animais perigosos; 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PER-01</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SAN-05</w:t>
            </w:r>
          </w:p>
        </w:tc>
        <w:tc>
          <w:tcPr>
            <w:tcW w:w="4309" w:type="dxa"/>
          </w:tcPr>
          <w:p>
            <w:pPr>
              <w:spacing w:after="60"/>
            </w:pPr>
            <w:r/>
            <w:r>
              <w:rPr>
                <w:b w:val="0"/>
                <w:sz w:val="20"/>
              </w:rPr>
              <w:t>O dever geral de colaboração de terceiros e a coima por recusa de informações não passam para o RGAC</w:t>
            </w:r>
          </w:p>
        </w:tc>
        <w:tc>
          <w:tcPr>
            <w:tcW w:w="3628" w:type="dxa"/>
          </w:tcPr>
          <w:p>
            <w:pPr>
              <w:spacing w:after="60"/>
            </w:pPr>
            <w:r/>
            <w:r>
              <w:rPr>
                <w:b w:val="0"/>
                <w:sz w:val="20"/>
              </w:rPr>
              <w:t>art. 138.º, Fiscalização</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SAN-03</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SAN-01</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TIT-06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SAN-04</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FIN-01</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FIN-02</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TIT-07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53 fichas, das quais 49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TIT-12.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TIT-05.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CED-07.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TIT-11.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BEM-01.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SAN-01.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SAN-01.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SAN-01.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r>
        <w:tc>
          <w:tcPr>
            <w:tcW w:w="907" w:type="dxa"/>
          </w:tcPr>
          <w:p>
            <w:pPr>
              <w:spacing w:after="60"/>
            </w:pPr>
            <w:r/>
            <w:r>
              <w:rPr>
                <w:b w:val="0"/>
                <w:sz w:val="20"/>
              </w:rPr>
              <w:t>L-21</w:t>
            </w:r>
          </w:p>
        </w:tc>
        <w:tc>
          <w:tcPr>
            <w:tcW w:w="1928" w:type="dxa"/>
          </w:tcPr>
          <w:p>
            <w:pPr>
              <w:spacing w:after="60"/>
            </w:pPr>
            <w:r/>
            <w:r>
              <w:rPr>
                <w:b w:val="0"/>
                <w:sz w:val="20"/>
              </w:rPr>
              <w:t>art. 137.º (cap. XV)</w:t>
            </w:r>
          </w:p>
        </w:tc>
        <w:tc>
          <w:tcPr>
            <w:tcW w:w="6009" w:type="dxa"/>
          </w:tcPr>
          <w:p>
            <w:pPr>
              <w:spacing w:after="60"/>
            </w:pPr>
            <w:r/>
            <w:r>
              <w:rPr>
                <w:b w:val="0"/>
                <w:sz w:val="20"/>
              </w:rPr>
              <w:t>O art. 137.º, n.º 1 diz «uma situação que ponha esteja em risco a saúde pública ou o bem-estar dos animais», com dois verbos seguidos. O n.º 2 começa por «Na sequência do pedido de colaboração referido no número anterior», mas o n.º 1 não fala de pedido de colaboração: fala de um relatório descritivo comunicado à DGAV.</w:t>
            </w:r>
          </w:p>
        </w:tc>
        <w:tc>
          <w:tcPr>
            <w:tcW w:w="4309" w:type="dxa"/>
          </w:tcPr>
          <w:p>
            <w:pPr>
              <w:spacing w:after="60"/>
            </w:pPr>
            <w:r/>
            <w:r>
              <w:rPr>
                <w:b w:val="0"/>
                <w:sz w:val="20"/>
              </w:rPr>
              <w:t>No n.º 1, «ponha em risco». No n.º 2, «Na sequência do relatório referido no número anterior».</w:t>
            </w:r>
          </w:p>
        </w:tc>
        <w:tc>
          <w:tcPr>
            <w:tcW w:w="1417" w:type="dxa"/>
          </w:tcPr>
          <w:p>
            <w:pPr>
              <w:spacing w:after="60"/>
            </w:pPr>
            <w:r/>
            <w:r>
              <w:rPr>
                <w:b w:val="0"/>
                <w:sz w:val="20"/>
              </w:rPr>
              <w:t>Aberto</w:t>
            </w:r>
          </w:p>
        </w:tc>
      </w:tr>
      <w:tr>
        <w:tc>
          <w:tcPr>
            <w:tcW w:w="907" w:type="dxa"/>
          </w:tcPr>
          <w:p>
            <w:pPr>
              <w:spacing w:after="60"/>
            </w:pPr>
            <w:r/>
            <w:r>
              <w:rPr>
                <w:b w:val="0"/>
                <w:sz w:val="20"/>
              </w:rPr>
              <w:t>L-22</w:t>
            </w:r>
          </w:p>
        </w:tc>
        <w:tc>
          <w:tcPr>
            <w:tcW w:w="1928" w:type="dxa"/>
          </w:tcPr>
          <w:p>
            <w:pPr>
              <w:spacing w:after="60"/>
            </w:pPr>
            <w:r/>
            <w:r>
              <w:rPr>
                <w:b w:val="0"/>
                <w:sz w:val="20"/>
              </w:rPr>
              <w:t>art. 130.º (cap. XIV); art. 131.º (cap. XIV); art. 132.º (cap. XIV); art. 134.º (cap. XIV)</w:t>
            </w:r>
          </w:p>
        </w:tc>
        <w:tc>
          <w:tcPr>
            <w:tcW w:w="6009" w:type="dxa"/>
          </w:tcPr>
          <w:p>
            <w:pPr>
              <w:spacing w:after="60"/>
            </w:pPr>
            <w:r/>
            <w:r>
              <w:rPr>
                <w:b w:val="0"/>
                <w:sz w:val="20"/>
              </w:rPr>
              <w:t>Remissões erradas nas normas dos treinadores. O art. 130.º, n.º 1 e o art. 131.º remetem para o treino «previsto no artigo XX.º». O art. 132.º, n.º 2, al. c), remete para a «alínea b) do n.º 3 do artigo 108.º», mas o art. 108.º trata do reconhecimento das organizações de criadores; a lista de crimes está no art. 110.º, n.º 3, al. b). O art. 134.º, n.º 1 remete para o «artigo 135.º», que trata das obrigações dos treinadores; o título profissional está no art. 132.º. O n.º 2 do mesmo artigo diz «o disposto Lei n.º 58/2019», sem «na», e «Regulamento 679/2016, de 27 de abril», em vez de Regulamento (UE) 2016/679.</w:t>
            </w:r>
          </w:p>
        </w:tc>
        <w:tc>
          <w:tcPr>
            <w:tcW w:w="4309" w:type="dxa"/>
          </w:tcPr>
          <w:p>
            <w:pPr>
              <w:spacing w:after="60"/>
            </w:pPr>
            <w:r/>
            <w:r>
              <w:rPr>
                <w:b w:val="0"/>
                <w:sz w:val="20"/>
              </w:rPr>
              <w:t>No art. 130.º, n.º 1 e no art. 131.º, remeter para o art. 128.º. No art. 132.º, n.º 2, al. c), remeter para o art. 110.º, n.º 3, al. b). No art. 134.º, n.º 1, remeter para o art. 132.º; no n.º 2, escrever «o disposto na Lei n.º 58/2019, de 8 de agosto, e no Regulamento (UE) 2016/679».</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12</w:t>
            </w:r>
          </w:p>
        </w:tc>
        <w:tc>
          <w:tcPr>
            <w:tcW w:w="1701" w:type="dxa"/>
          </w:tcPr>
          <w:p>
            <w:pPr>
              <w:spacing w:after="60"/>
            </w:pPr>
            <w:r/>
            <w:r>
              <w:rPr>
                <w:b w:val="0"/>
                <w:sz w:val="20"/>
              </w:rPr>
              <w:t>23</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0</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14</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66</w:t>
            </w:r>
          </w:p>
        </w:tc>
        <w:tc>
          <w:tcPr>
            <w:tcW w:w="1701" w:type="dxa"/>
          </w:tcPr>
          <w:p>
            <w:pPr>
              <w:spacing w:after="60"/>
            </w:pPr>
            <w:r/>
            <w:r>
              <w:rPr>
                <w:b/>
                <w:sz w:val="20"/>
              </w:rPr>
              <w:t>87</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REG-01,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TIT-01, TIT-03, TIT-06, TIT-09, TIT-14, TIT-18, TIT-19, CED-02, CED-12, TIT-20, CED-18, 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REG-01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TIT-03, CED-09,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TIT-13, TIT-16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BEM-01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BEM-01,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TIT-12,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BEM-02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TIT-14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EST-01,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EST-01, SAN-04,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EST-01,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CED-12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TIT-09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TIT-01, TIT-02, TIT-03, TIT-08, TIT-19, 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TIT-10, TIT-17, CED-07, CED-08, TIT-21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TIT-04, TIT-05, TIT-09, TIT-17,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TIT-04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SAN-01, PER-02,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CED-03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CED-17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TIT-19, CED-01, CED-02, CED-04, CED-05, CED-06, CED-07, CED-08, CED-09, CED-11, CED-13, CED-14, CED-15, CED-16,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CED-10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TIT-10, SAN-01,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TIT-15, CED-04, CED-12, TIT-20, CED-18, CED-19, SAN-01, SAN-02,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TIT-20, SAN-01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TIT-10,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TIT-10, SAN-01, SAN-02, TIT-21, BEM-02,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TIT-10,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SAN-01,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Parcial</w:t>
            </w:r>
          </w:p>
        </w:tc>
        <w:tc>
          <w:tcPr>
            <w:tcW w:w="2268" w:type="dxa"/>
          </w:tcPr>
          <w:p>
            <w:pPr>
              <w:spacing w:after="60"/>
            </w:pPr>
            <w:r/>
            <w:r>
              <w:rPr>
                <w:b w:val="0"/>
                <w:sz w:val="20"/>
              </w:rPr>
              <w:t>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PER-01, PER-02,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PER-01,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PER-01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Parcial</w:t>
            </w:r>
          </w:p>
        </w:tc>
        <w:tc>
          <w:tcPr>
            <w:tcW w:w="2268" w:type="dxa"/>
          </w:tcPr>
          <w:p>
            <w:pPr>
              <w:spacing w:after="60"/>
            </w:pPr>
            <w:r/>
            <w:r>
              <w:rPr>
                <w:b w:val="0"/>
                <w:sz w:val="20"/>
              </w:rPr>
              <w:t>PER-02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Parcial</w:t>
            </w:r>
          </w:p>
        </w:tc>
        <w:tc>
          <w:tcPr>
            <w:tcW w:w="2268" w:type="dxa"/>
          </w:tcPr>
          <w:p>
            <w:pPr>
              <w:spacing w:after="60"/>
            </w:pPr>
            <w:r/>
            <w:r>
              <w:rPr>
                <w:b w:val="0"/>
                <w:sz w:val="20"/>
              </w:rPr>
              <w:t>L-22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Parcial</w:t>
            </w:r>
          </w:p>
        </w:tc>
        <w:tc>
          <w:tcPr>
            <w:tcW w:w="2268" w:type="dxa"/>
          </w:tcPr>
          <w:p>
            <w:pPr>
              <w:spacing w:after="60"/>
            </w:pPr>
            <w:r/>
            <w:r>
              <w:rPr>
                <w:b w:val="0"/>
                <w:sz w:val="20"/>
              </w:rPr>
              <w:t>SAN-05, L-21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SAN-03, SAN-05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SAN-03, EST-01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TIT-06, TIT-11, TIT-15, CED-03, CED-04, BEM-01, SAN-01, FIN-01, SAN-05,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EST-01, SAN-04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SAN-01, SAN-03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TIT-07, CED-01, FIN-01, FIN-02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 Titularidade e detenção (22)</w:t>
      </w:r>
    </w:p>
    <w:p>
      <w:pPr>
        <w:spacing w:after="20"/>
        <w:ind w:left="454"/>
      </w:pPr>
      <w:r>
        <w:rPr>
          <w:b w:val="0"/>
          <w:i w:val="0"/>
        </w:rPr>
        <w:t>TIT-01. A definição de titular depende só do registo (art. 3.º, cap. I)</w:t>
      </w:r>
    </w:p>
    <w:p>
      <w:pPr>
        <w:spacing w:after="20"/>
        <w:ind w:left="454"/>
      </w:pPr>
      <w:r>
        <w:rPr>
          <w:b w:val="0"/>
          <w:i w:val="0"/>
        </w:rPr>
        <w:t>TIT-03. Sem regra sobre o valor do registo SIAC face à propriedade (art. 3.º, cap. I)</w:t>
      </w:r>
    </w:p>
    <w:p>
      <w:pPr>
        <w:spacing w:after="20"/>
        <w:ind w:left="454"/>
      </w:pPr>
      <w:r>
        <w:rPr>
          <w:b w:val="0"/>
          <w:i w:val="0"/>
        </w:rPr>
        <w:t>TIT-09. «Titular ou operador» quando o operador já é titular (art. 3.º, cap. I)</w:t>
      </w:r>
    </w:p>
    <w:p>
      <w:pPr>
        <w:spacing w:after="20"/>
        <w:ind w:left="454"/>
      </w:pPr>
      <w:r>
        <w:rPr>
          <w:b w:val="0"/>
          <w:i w:val="0"/>
        </w:rPr>
        <w:t>TIT-14. Família de acolhimento sem operador fica sem enquadramento (art. 3.º, cap. I)</w:t>
      </w:r>
    </w:p>
    <w:p>
      <w:pPr>
        <w:spacing w:after="20"/>
        <w:ind w:left="454"/>
      </w:pPr>
      <w:r>
        <w:rPr>
          <w:b w:val="0"/>
          <w:i w:val="0"/>
        </w:rPr>
        <w:t>TIT-18. Animais deixados em centros veterinários (art. 3.º, cap. I)</w:t>
      </w:r>
    </w:p>
    <w:p>
      <w:pPr>
        <w:spacing w:after="20"/>
        <w:ind w:left="454"/>
      </w:pPr>
      <w:r>
        <w:rPr>
          <w:b w:val="0"/>
          <w:i w:val="0"/>
        </w:rPr>
        <w:t>TIT-19. Nada diz quem é titular quando o animal não tem proprietário (art. 3.º, cap. I)</w:t>
      </w:r>
    </w:p>
    <w:p>
      <w:pPr>
        <w:spacing w:after="20"/>
        <w:ind w:left="454"/>
      </w:pPr>
      <w:r>
        <w:rPr>
          <w:b w:val="0"/>
          <w:i w:val="0"/>
        </w:rPr>
        <w:t>TIT-13. Quem responde pelos danos causados pelo animal (art. 6.º, cap. II)</w:t>
      </w:r>
    </w:p>
    <w:p>
      <w:pPr>
        <w:spacing w:after="20"/>
        <w:ind w:left="454"/>
      </w:pPr>
      <w:r>
        <w:rPr>
          <w:b w:val="0"/>
          <w:i w:val="0"/>
        </w:rPr>
        <w:t>TIT-16. Detentores de facto que dizem tratar de animais errantes (art. 6.º, cap. II)</w:t>
      </w:r>
    </w:p>
    <w:p>
      <w:pPr>
        <w:spacing w:after="20"/>
        <w:ind w:left="454"/>
      </w:pPr>
      <w:r>
        <w:rPr>
          <w:b w:val="0"/>
          <w:i w:val="0"/>
        </w:rPr>
        <w:t>TIT-12. Redação por decidir no art. 22.º (art. 22.º,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TIT-15. Quem encontra um animal passa a poder ser punido (art. 91.º, cap. X)</w:t>
      </w:r>
    </w:p>
    <w:p>
      <w:pPr>
        <w:spacing w:after="20"/>
        <w:ind w:left="454"/>
      </w:pPr>
      <w:r>
        <w:rPr>
          <w:b w:val="0"/>
          <w:i w:val="0"/>
        </w:rPr>
        <w:t>TIT-20. Quem acolhe um animal errante pode ficar sem saída lícita (art. 94.º, cap. X)</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TIT-07. As portarias mantidas usam detentor no sentido antigo (art. 149.º, cap. XVI)</w:t>
      </w:r>
    </w:p>
    <w:p>
      <w:pPr>
        <w:pStyle w:val="Heading2"/>
      </w:pPr>
      <w:r>
        <w:rPr>
          <w:i w:val="0"/>
          <w:color w:val="000000"/>
        </w:rPr>
        <w:t>CED. CED, colónias e animais errantes (20)</w:t>
      </w:r>
    </w:p>
    <w:p>
      <w:pPr>
        <w:spacing w:after="20"/>
        <w:ind w:left="454"/>
      </w:pPr>
      <w:r>
        <w:rPr>
          <w:b w:val="0"/>
          <w:i w:val="0"/>
        </w:rPr>
        <w:t>CED-18. A definição de animal errante passa a abranger qualquer animal não identificado (art. 3.º, cap. I)</w:t>
      </w:r>
    </w:p>
    <w:p>
      <w:pPr>
        <w:spacing w:after="20"/>
        <w:ind w:left="454"/>
      </w:pPr>
      <w:r>
        <w:rPr>
          <w:b w:val="0"/>
          <w:i w:val="0"/>
        </w:rPr>
        <w:t>CED-12. Gatos de colónia em infração permanente (art. 60.º, cap. VI)</w:t>
      </w:r>
    </w:p>
    <w:p>
      <w:pPr>
        <w:spacing w:after="20"/>
        <w:ind w:left="454"/>
      </w:pPr>
      <w:r>
        <w:rPr>
          <w:b w:val="0"/>
          <w:i w:val="0"/>
        </w:rPr>
        <w:t>CED-03. Proibição nacional de alimentar animais na via pública (art. 84.º, cap. X)</w:t>
      </w:r>
    </w:p>
    <w:p>
      <w:pPr>
        <w:spacing w:after="20"/>
        <w:ind w:left="454"/>
      </w:pPr>
      <w:r>
        <w:rPr>
          <w:b w:val="0"/>
          <w:i w:val="0"/>
        </w:rPr>
        <w:t>CED-17. Plano municipal de controlo de errantes sem conteúdo mínimo nem consequências (art. 85.º, cap. X)</w:t>
      </w:r>
    </w:p>
    <w:p>
      <w:pPr>
        <w:spacing w:after="20"/>
        <w:ind w:left="454"/>
      </w:pPr>
      <w:r>
        <w:rPr>
          <w:b w:val="0"/>
          <w:i w:val="0"/>
        </w:rPr>
        <w:t>CED-01. O CED passa a ser só uma faculdade das câmaras (art. 86.º, cap. X)</w:t>
      </w:r>
    </w:p>
    <w:p>
      <w:pPr>
        <w:spacing w:after="20"/>
        <w:ind w:left="454"/>
      </w:pPr>
      <w:r>
        <w:rPr>
          <w:b w:val="0"/>
          <w:i w:val="0"/>
        </w:rPr>
        <w:t>CED-02. O cuidador de colónia não existe no texto (art. 86.º, cap. X)</w:t>
      </w:r>
    </w:p>
    <w:p>
      <w:pPr>
        <w:spacing w:after="20"/>
        <w:ind w:left="454"/>
      </w:pPr>
      <w:r>
        <w:rPr>
          <w:b w:val="0"/>
          <w:i w:val="0"/>
        </w:rPr>
        <w:t>CED-05. Passagem obrigatória pelo CRO antes de o gato entrar na colónia (art. 86.º, cap. X)</w:t>
      </w:r>
    </w:p>
    <w:p>
      <w:pPr>
        <w:spacing w:after="20"/>
        <w:ind w:left="454"/>
      </w:pPr>
      <w:r>
        <w:rPr>
          <w:b w:val="0"/>
          <w:i w:val="0"/>
        </w:rPr>
        <w:t>CED-06. Exclusão dos cães do CED (art. 86.º, cap. X)</w:t>
      </w:r>
    </w:p>
    <w:p>
      <w:pPr>
        <w:spacing w:after="20"/>
        <w:ind w:left="454"/>
      </w:pPr>
      <w:r>
        <w:rPr>
          <w:b w:val="0"/>
          <w:i w:val="0"/>
        </w:rPr>
        <w:t>CED-07. Remissões e numeração erradas no artigo do CED (art. 86.º, cap. X)</w:t>
      </w:r>
    </w:p>
    <w:p>
      <w:pPr>
        <w:spacing w:after="20"/>
        <w:ind w:left="454"/>
      </w:pPr>
      <w:r>
        <w:rPr>
          <w:b w:val="0"/>
          <w:i w:val="0"/>
        </w:rPr>
        <w:t>CED-08. Entidade promotora, entidade responsável e titular: quem responde pela colónia (art. 86.º, cap. X)</w:t>
      </w:r>
    </w:p>
    <w:p>
      <w:pPr>
        <w:spacing w:after="20"/>
        <w:ind w:left="454"/>
      </w:pPr>
      <w:r>
        <w:rPr>
          <w:b w:val="0"/>
          <w:i w:val="0"/>
        </w:rPr>
        <w:t>CED-09. Registo da colónia no SIAC sem conteúdo definido (art. 86.º, cap. X)</w:t>
      </w:r>
    </w:p>
    <w:p>
      <w:pPr>
        <w:spacing w:after="20"/>
        <w:ind w:left="454"/>
      </w:pPr>
      <w:r>
        <w:rPr>
          <w:b w:val="0"/>
          <w:i w:val="0"/>
        </w:rPr>
        <w:t>CED-11. CED e conservação da natureza (art. 86.º, cap. X)</w:t>
      </w:r>
    </w:p>
    <w:p>
      <w:pPr>
        <w:spacing w:after="20"/>
        <w:ind w:left="454"/>
      </w:pPr>
      <w:r>
        <w:rPr>
          <w:b w:val="0"/>
          <w:i w:val="0"/>
        </w:rPr>
        <w:t>CED-13. Crias e gatos sociáveis: retirar ou devolver (art. 86.º, cap. X)</w:t>
      </w:r>
    </w:p>
    <w:p>
      <w:pPr>
        <w:spacing w:after="20"/>
        <w:ind w:left="454"/>
      </w:pPr>
      <w:r>
        <w:rPr>
          <w:b w:val="0"/>
          <w:i w:val="0"/>
        </w:rPr>
        <w:t>CED-14. Suspensão do programa e recolha dos gatos sem garantias (art. 86.º, cap. X)</w:t>
      </w:r>
    </w:p>
    <w:p>
      <w:pPr>
        <w:spacing w:after="20"/>
        <w:ind w:left="454"/>
      </w:pPr>
      <w:r>
        <w:rPr>
          <w:b w:val="0"/>
          <w:i w:val="0"/>
        </w:rPr>
        <w:t>CED-15. Meios: médicos veterinários municipais e financiamento (art. 86.º, cap. X)</w:t>
      </w:r>
    </w:p>
    <w:p>
      <w:pPr>
        <w:spacing w:after="20"/>
        <w:ind w:left="454"/>
      </w:pPr>
      <w:r>
        <w:rPr>
          <w:b w:val="0"/>
          <w:i w:val="0"/>
        </w:rPr>
        <w:t>CED-16. Conflito com vizinhos e dimensão da colónia (art. 86.º, cap. X)</w:t>
      </w:r>
    </w:p>
    <w:p>
      <w:pPr>
        <w:spacing w:after="20"/>
        <w:ind w:left="454"/>
      </w:pPr>
      <w:r>
        <w:rPr>
          <w:b w:val="0"/>
          <w:i w:val="0"/>
        </w:rPr>
        <w:t>CED-10. Colónias em prédios privados (art. 87.º, cap. X)</w:t>
      </w:r>
    </w:p>
    <w:p>
      <w:pPr>
        <w:spacing w:after="20"/>
        <w:ind w:left="454"/>
      </w:pPr>
      <w:r>
        <w:rPr>
          <w:b w:val="0"/>
          <w:i w:val="0"/>
        </w:rPr>
        <w:t>CED-04. Só as câmaras podem capturar, mas o CED pode ser gerido por outras entidades (art. 91.º, cap. X)</w:t>
      </w:r>
    </w:p>
    <w:p>
      <w:pPr>
        <w:spacing w:after="20"/>
        <w:ind w:left="454"/>
      </w:pPr>
      <w:r>
        <w:rPr>
          <w:b w:val="0"/>
          <w:i w:val="0"/>
        </w:rPr>
        <w:t>CED-19. A Lei 75/2013 ainda atribui às câmaras o abate de canídeos e gatídeos (art. 91.º, cap. X)</w:t>
      </w:r>
    </w:p>
    <w:p>
      <w:pPr>
        <w:spacing w:after="20"/>
        <w:ind w:left="454"/>
      </w:pPr>
      <w:r>
        <w:rPr>
          <w:b w:val="0"/>
          <w:i w:val="0"/>
        </w:rPr>
        <w:t>TIT-20. Quem acolhe um animal errante pode ficar sem saída lícita (art. 94.º, cap. X)</w:t>
      </w:r>
    </w:p>
    <w:p>
      <w:pPr>
        <w:pStyle w:val="Heading2"/>
      </w:pPr>
      <w:r>
        <w:rPr>
          <w:i w:val="0"/>
          <w:color w:val="000000"/>
        </w:rPr>
        <w:t>REG. Identificação e registo (12)</w:t>
      </w:r>
    </w:p>
    <w:p>
      <w:pPr>
        <w:spacing w:after="20"/>
        <w:ind w:left="454"/>
      </w:pPr>
      <w:r>
        <w:rPr>
          <w:b w:val="0"/>
          <w:i w:val="0"/>
        </w:rPr>
        <w:t>REG-01. Duas normas diferentes sobre que espécies são animais de companhia (art. 2.º, cap. I)</w:t>
      </w:r>
    </w:p>
    <w:p>
      <w:pPr>
        <w:spacing w:after="20"/>
        <w:ind w:left="454"/>
      </w:pPr>
      <w:r>
        <w:rPr>
          <w:b w:val="0"/>
          <w:i w:val="0"/>
        </w:rPr>
        <w:t>BEM-02. Nada sobre animais de companhia em acidente grave ou catástrofe (art. 25.º, cap. IV)</w:t>
      </w:r>
    </w:p>
    <w:p>
      <w:pPr>
        <w:spacing w:after="20"/>
        <w:ind w:left="454"/>
      </w:pPr>
      <w:r>
        <w:rPr>
          <w:b w:val="0"/>
          <w:i w:val="0"/>
        </w:rPr>
        <w:t>TIT-02. Registo em nome de quem detém o animal e não de quem é dono (art. 69.º, cap. VIII)</w:t>
      </w:r>
    </w:p>
    <w:p>
      <w:pPr>
        <w:spacing w:after="20"/>
        <w:ind w:left="454"/>
      </w:pPr>
      <w:r>
        <w:rPr>
          <w:b w:val="0"/>
          <w:i w:val="0"/>
        </w:rPr>
        <w:t>TIT-08. Animais perigosos: o operador pode ser uma sociedade, o titular não (art. 69.º, cap. VIII)</w:t>
      </w:r>
    </w:p>
    <w:p>
      <w:pPr>
        <w:spacing w:after="20"/>
        <w:ind w:left="454"/>
      </w:pPr>
      <w:r>
        <w:rPr>
          <w:b w:val="0"/>
          <w:i w:val="0"/>
        </w:rPr>
        <w:t>TIT-10. Terminologia do CRO ainda não uniforme (art. 70.º, cap. VIII)</w:t>
      </w:r>
    </w:p>
    <w:p>
      <w:pPr>
        <w:spacing w:after="20"/>
        <w:ind w:left="454"/>
      </w:pPr>
      <w:r>
        <w:rPr>
          <w:b w:val="0"/>
          <w:i w:val="0"/>
        </w:rPr>
        <w:t>TIT-05. A presunção de abandono remete para normas erradas e não diz a quem se aplica (art. 73.º, cap. VIII)</w:t>
      </w:r>
    </w:p>
    <w:p>
      <w:pPr>
        <w:spacing w:after="20"/>
        <w:ind w:left="454"/>
      </w:pPr>
      <w:r>
        <w:rPr>
          <w:b w:val="0"/>
          <w:i w:val="0"/>
        </w:rPr>
        <w:t>TIT-17. Prazos de comunicação ao SIAC mais pesados do que o Regulamento europeu (art. 73.º, cap. VIII)</w:t>
      </w:r>
    </w:p>
    <w:p>
      <w:pPr>
        <w:spacing w:after="20"/>
        <w:ind w:left="454"/>
      </w:pPr>
      <w:r>
        <w:rPr>
          <w:b w:val="0"/>
          <w:i w:val="0"/>
        </w:rPr>
        <w:t>TIT-04. O detentor deixa de ter de comunicar a morte do animal (art. 76.º, cap. VIII)</w:t>
      </w:r>
    </w:p>
    <w:p>
      <w:pPr>
        <w:spacing w:after="20"/>
        <w:ind w:left="454"/>
      </w:pPr>
      <w:r>
        <w:rPr>
          <w:b w:val="0"/>
          <w:i w:val="0"/>
        </w:rPr>
        <w:t>TIT-21. A presunção de abandono aos 15 dias não ressalva animais apreendidos nem animais socorridos em emergência (art. 98.º, cap. X)</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pPr>
        <w:spacing w:after="20"/>
        <w:ind w:left="454"/>
      </w:pPr>
      <w:r>
        <w:rPr>
          <w:b w:val="0"/>
          <w:i w:val="0"/>
        </w:rPr>
        <w:t>SAN-03. A apreensão provisória serve só as contraordenações e admite devolver os animais ao local de origem (art. 139.º, cap. XV)</w:t>
      </w:r>
    </w:p>
    <w:p>
      <w:pPr>
        <w:pStyle w:val="Heading2"/>
      </w:pPr>
      <w:r>
        <w:rPr>
          <w:i w:val="0"/>
          <w:color w:val="000000"/>
        </w:rPr>
        <w:t>EST. Estabelecimentos e operadores (6)</w:t>
      </w:r>
    </w:p>
    <w:p>
      <w:pPr>
        <w:spacing w:after="20"/>
        <w:ind w:left="454"/>
      </w:pPr>
      <w:r>
        <w:rPr>
          <w:b w:val="0"/>
          <w:i w:val="0"/>
        </w:rPr>
        <w:t>TIT-12. Redação por decidir no art. 22.º (art. 22.º, cap. IV)</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SAN-01. Os deveres dos CRO e o relatório anual ficam sem coima (art. 140.º, cap. XV)</w:t>
      </w:r>
    </w:p>
    <w:p>
      <w:pPr>
        <w:spacing w:after="20"/>
        <w:ind w:left="454"/>
      </w:pPr>
      <w:r>
        <w:rPr>
          <w:b w:val="0"/>
          <w:i w:val="0"/>
        </w:rPr>
        <w:t>SAN-04. As sanções acessórias perdem a interdição do exercício da atividade (art. 141.º, cap. XV)</w:t>
      </w:r>
    </w:p>
    <w:p>
      <w:pPr>
        <w:pStyle w:val="Heading2"/>
      </w:pPr>
      <w:r>
        <w:rPr>
          <w:i w:val="0"/>
          <w:color w:val="000000"/>
        </w:rPr>
        <w:t>SAN. Fiscalização e contraordenações (9)</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SAN-05. O dever geral de colaboração de terceiros e a coima por recusa de informações não passam para o RGAC (art. 138.º, cap. XV)</w:t>
      </w:r>
    </w:p>
    <w:p>
      <w:pPr>
        <w:spacing w:after="20"/>
        <w:ind w:left="454"/>
      </w:pPr>
      <w:r>
        <w:rPr>
          <w:b w:val="0"/>
          <w:i w:val="0"/>
        </w:rPr>
        <w:t>SAN-03. A apreensão provisória serve só as contraordenações e admite devolver os animais ao local de origem (art. 139.º, cap. XV)</w:t>
      </w:r>
    </w:p>
    <w:p>
      <w:pPr>
        <w:spacing w:after="20"/>
        <w:ind w:left="454"/>
      </w:pPr>
      <w:r>
        <w:rPr>
          <w:b w:val="0"/>
          <w:i w:val="0"/>
        </w:rPr>
        <w:t>SAN-01. Os deveres dos CRO e o relatório anual ficam sem coima (art. 140.º, cap. XV)</w:t>
      </w:r>
    </w:p>
    <w:p>
      <w:pPr>
        <w:spacing w:after="20"/>
        <w:ind w:left="454"/>
      </w:pPr>
      <w:r>
        <w:rPr>
          <w:b w:val="0"/>
          <w:i w:val="0"/>
        </w:rPr>
        <w:t>TIT-06. O abandono não aparece como contraordenação (art. 140.º, cap. XV)</w:t>
      </w:r>
    </w:p>
    <w:p>
      <w:pPr>
        <w:spacing w:after="20"/>
        <w:ind w:left="454"/>
      </w:pPr>
      <w:r>
        <w:rPr>
          <w:b w:val="0"/>
          <w:i w:val="0"/>
        </w:rPr>
        <w:t>TIT-11. Contraordenação dirigida só aos detentores (art. 140.º, cap. XV)</w:t>
      </w:r>
    </w:p>
    <w:p>
      <w:pPr>
        <w:spacing w:after="20"/>
        <w:ind w:left="454"/>
      </w:pPr>
      <w:r>
        <w:rPr>
          <w:b w:val="0"/>
          <w:i w:val="0"/>
        </w:rPr>
        <w:t>SAN-04. As sanções acessórias perdem a interdição do exercício da atividade (art. 141.º, cap. XV)</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FIN. Disposições finais e revogações (3)</w:t>
      </w:r>
    </w:p>
    <w:p>
      <w:pPr>
        <w:spacing w:after="20"/>
        <w:ind w:left="454"/>
      </w:pPr>
      <w:r>
        <w:rPr>
          <w:b w:val="0"/>
          <w:i w:val="0"/>
        </w:rPr>
        <w:t>FIN-01. A revogação total da Lei 92/95 apaga normas que não tratam de animais de companhia (art. 149.º, cap. XVI)</w:t>
      </w:r>
    </w:p>
    <w:p>
      <w:pPr>
        <w:spacing w:after="20"/>
        <w:ind w:left="454"/>
      </w:pPr>
      <w:r>
        <w:rPr>
          <w:b w:val="0"/>
          <w:i w:val="0"/>
        </w:rPr>
        <w:t>FIN-02. O DL 74/2007 é ressalvado e revogado ao mesmo tempo (art. 149.º, cap. XVI)</w:t>
      </w:r>
    </w:p>
    <w:p>
      <w:pPr>
        <w:spacing w:after="20"/>
        <w:ind w:left="454"/>
      </w:pPr>
      <w:r>
        <w:rPr>
          <w:b w:val="0"/>
          <w:i w:val="0"/>
        </w:rPr>
        <w:t>TIT-07. As portarias mantidas usam detentor no sentido antigo (art. 149.º, cap. XVI)</w:t>
      </w:r>
    </w:p>
    <w:p>
      <w:pPr>
        <w:pStyle w:val="Heading2"/>
      </w:pPr>
      <w:r>
        <w:rPr>
          <w:i w:val="0"/>
          <w:color w:val="000000"/>
        </w:rPr>
        <w:t>BEM. Bem-estar e deveres de detenção (5)</w:t>
      </w:r>
    </w:p>
    <w:p>
      <w:pPr>
        <w:spacing w:after="20"/>
        <w:ind w:left="454"/>
      </w:pPr>
      <w:r>
        <w:rPr>
          <w:b w:val="0"/>
          <w:i w:val="0"/>
        </w:rPr>
        <w:t>BEM-01. A amarração no domicílio fica sem duração máxima nem requisitos verificáveis (art. 19.º, cap. II)</w:t>
      </w:r>
    </w:p>
    <w:p>
      <w:pPr>
        <w:spacing w:after="20"/>
        <w:ind w:left="454"/>
      </w:pPr>
      <w:r>
        <w:rPr>
          <w:b w:val="0"/>
          <w:i w:val="0"/>
        </w:rPr>
        <w:t>BEM-02. Nada sobre animais de companhia em acidente grave ou catástrofe (art. 25.º, cap. IV)</w:t>
      </w:r>
    </w:p>
    <w:p>
      <w:pPr>
        <w:spacing w:after="20"/>
        <w:ind w:left="454"/>
      </w:pPr>
      <w:r>
        <w:rPr>
          <w:b w:val="0"/>
          <w:i w:val="0"/>
        </w:rPr>
        <w:t>EST-01. O encerramento de estabelecimentos fica sem medida cautelar, sem regra para os animais e sem efeito no registo (art. 50.º, cap. IV)</w:t>
      </w:r>
    </w:p>
    <w:p>
      <w:pPr>
        <w:spacing w:after="20"/>
        <w:ind w:left="454"/>
      </w:pPr>
      <w:r>
        <w:rPr>
          <w:b w:val="0"/>
          <w:i w:val="0"/>
        </w:rPr>
        <w:t>SAN-02. A recolha por razões de bem-estar passa da DGAV para as câmaras e o destino para o médico veterinário municipal (art. 91.º, cap. X)</w:t>
      </w:r>
    </w:p>
    <w:p>
      <w:pPr>
        <w:spacing w:after="20"/>
        <w:ind w:left="454"/>
      </w:pPr>
      <w:r>
        <w:rPr>
          <w:b w:val="0"/>
          <w:i w:val="0"/>
        </w:rPr>
        <w:t>FIN-01. A revogação total da Lei 92/95 apaga normas que não tratam de animais de companhia (art. 149.º, cap. XVI)</w:t>
      </w:r>
    </w:p>
    <w:p>
      <w:pPr>
        <w:pStyle w:val="Heading2"/>
      </w:pPr>
      <w:r>
        <w:rPr>
          <w:i w:val="0"/>
          <w:color w:val="000000"/>
        </w:rPr>
        <w:t>PER. Animais perigosos (2)</w:t>
      </w:r>
    </w:p>
    <w:p>
      <w:pPr>
        <w:spacing w:after="20"/>
        <w:ind w:left="454"/>
      </w:pPr>
      <w:r>
        <w:rPr>
          <w:b w:val="0"/>
          <w:i w:val="0"/>
        </w:rPr>
        <w:t>PER-02. Associação titular de cão perigoso: falta a regra da licença e a adoção fica entre duas normas contrárias (art. 110.º, cap. XIV)</w:t>
      </w:r>
    </w:p>
    <w:p>
      <w:pPr>
        <w:spacing w:after="20"/>
        <w:ind w:left="454"/>
      </w:pPr>
      <w:r>
        <w:rPr>
          <w:b w:val="0"/>
          <w:i w:val="0"/>
        </w:rPr>
        <w:t>PER-01. Duas vias para retirar a classificação de perigoso, sem ligação entre elas (art. 120.º, cap. XIV)</w:t>
      </w:r>
    </w:p>
    <w:p>
      <w:r>
        <w:br w:type="page"/>
      </w:r>
    </w:p>
    <w:p>
      <w:pPr>
        <w:pStyle w:val="Heading1"/>
      </w:pPr>
      <w:r>
        <w:rPr>
          <w:i w:val="0"/>
          <w:color w:val="000000"/>
        </w:rPr>
        <w:t>Anexo F. Correspondência com os códigos anteriores</w:t>
      </w:r>
    </w:p>
    <w:p>
      <w:r>
        <w:rPr>
          <w:b w:val="0"/>
          <w:i w:val="0"/>
        </w:rPr>
        <w:t>As versões 1 a 1.7 do memorando usavam T para titularidade e C para CED. O ensaio 2.0 usava números P sem significado. A partir desta versão, o código é a sigla do tema principal e um número dentro do tema.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247"/>
        <w:gridCol w:w="1474"/>
        <w:gridCol w:w="5102"/>
      </w:tblGrid>
      <w:tr>
        <w:trPr>
          <w:tblHeader w:val="true"/>
        </w:trPr>
        <w:tc>
          <w:tcPr>
            <w:tcW w:w="1247" w:type="dxa"/>
          </w:tcPr>
          <w:p>
            <w:pPr>
              <w:spacing w:after="60"/>
            </w:pPr>
            <w:r/>
            <w:r>
              <w:rPr>
                <w:b/>
                <w:sz w:val="20"/>
              </w:rPr>
              <w:t>Versão 1.x</w:t>
            </w:r>
          </w:p>
        </w:tc>
        <w:tc>
          <w:tcPr>
            <w:tcW w:w="1247" w:type="dxa"/>
          </w:tcPr>
          <w:p>
            <w:pPr>
              <w:spacing w:after="60"/>
            </w:pPr>
            <w:r/>
            <w:r>
              <w:rPr>
                <w:b/>
                <w:sz w:val="20"/>
              </w:rPr>
              <w:t>Ensaio 2.0</w:t>
            </w:r>
          </w:p>
        </w:tc>
        <w:tc>
          <w:tcPr>
            <w:tcW w:w="1474" w:type="dxa"/>
          </w:tcPr>
          <w:p>
            <w:pPr>
              <w:spacing w:after="60"/>
            </w:pPr>
            <w:r/>
            <w:r>
              <w:rPr>
                <w:b/>
                <w:sz w:val="20"/>
              </w:rPr>
              <w:t>Código atual</w:t>
            </w:r>
          </w:p>
        </w:tc>
        <w:tc>
          <w:tcPr>
            <w:tcW w:w="5102" w:type="dxa"/>
          </w:tcPr>
          <w:p>
            <w:pPr>
              <w:spacing w:after="60"/>
            </w:pPr>
            <w:r/>
            <w:r>
              <w:rPr>
                <w:b/>
                <w:sz w:val="20"/>
              </w:rPr>
              <w:t>Assunto</w:t>
            </w:r>
          </w:p>
        </w:tc>
      </w:tr>
      <w:tr>
        <w:tc>
          <w:tcPr>
            <w:tcW w:w="1247" w:type="dxa"/>
          </w:tcPr>
          <w:p>
            <w:pPr>
              <w:spacing w:after="60"/>
            </w:pPr>
            <w:r/>
            <w:r>
              <w:rPr>
                <w:b w:val="0"/>
                <w:sz w:val="20"/>
              </w:rPr>
              <w:t>T-01</w:t>
            </w:r>
          </w:p>
        </w:tc>
        <w:tc>
          <w:tcPr>
            <w:tcW w:w="1247" w:type="dxa"/>
          </w:tcPr>
          <w:p>
            <w:pPr>
              <w:spacing w:after="60"/>
            </w:pPr>
            <w:r/>
            <w:r>
              <w:rPr>
                <w:b w:val="0"/>
                <w:sz w:val="20"/>
              </w:rPr>
              <w:t>P-01</w:t>
            </w:r>
          </w:p>
        </w:tc>
        <w:tc>
          <w:tcPr>
            <w:tcW w:w="1474" w:type="dxa"/>
          </w:tcPr>
          <w:p>
            <w:pPr>
              <w:spacing w:after="60"/>
            </w:pPr>
            <w:r/>
            <w:r>
              <w:rPr>
                <w:b w:val="0"/>
                <w:sz w:val="20"/>
              </w:rPr>
              <w:t>TIT-01</w:t>
            </w:r>
          </w:p>
        </w:tc>
        <w:tc>
          <w:tcPr>
            <w:tcW w:w="5102" w:type="dxa"/>
          </w:tcPr>
          <w:p>
            <w:pPr>
              <w:spacing w:after="60"/>
            </w:pPr>
            <w:r/>
            <w:r>
              <w:rPr>
                <w:b w:val="0"/>
                <w:sz w:val="20"/>
              </w:rPr>
              <w:t>A definição de titular depende só do registo</w:t>
            </w:r>
          </w:p>
        </w:tc>
      </w:tr>
      <w:tr>
        <w:tc>
          <w:tcPr>
            <w:tcW w:w="1247" w:type="dxa"/>
          </w:tcPr>
          <w:p>
            <w:pPr>
              <w:spacing w:after="60"/>
            </w:pPr>
            <w:r/>
            <w:r>
              <w:rPr>
                <w:b w:val="0"/>
                <w:sz w:val="20"/>
              </w:rPr>
              <w:t>T-02</w:t>
            </w:r>
          </w:p>
        </w:tc>
        <w:tc>
          <w:tcPr>
            <w:tcW w:w="1247" w:type="dxa"/>
          </w:tcPr>
          <w:p>
            <w:pPr>
              <w:spacing w:after="60"/>
            </w:pPr>
            <w:r/>
            <w:r>
              <w:rPr>
                <w:b w:val="0"/>
                <w:sz w:val="20"/>
              </w:rPr>
              <w:t>P-02</w:t>
            </w:r>
          </w:p>
        </w:tc>
        <w:tc>
          <w:tcPr>
            <w:tcW w:w="1474" w:type="dxa"/>
          </w:tcPr>
          <w:p>
            <w:pPr>
              <w:spacing w:after="60"/>
            </w:pPr>
            <w:r/>
            <w:r>
              <w:rPr>
                <w:b w:val="0"/>
                <w:sz w:val="20"/>
              </w:rPr>
              <w:t>TIT-02</w:t>
            </w:r>
          </w:p>
        </w:tc>
        <w:tc>
          <w:tcPr>
            <w:tcW w:w="5102" w:type="dxa"/>
          </w:tcPr>
          <w:p>
            <w:pPr>
              <w:spacing w:after="60"/>
            </w:pPr>
            <w:r/>
            <w:r>
              <w:rPr>
                <w:b w:val="0"/>
                <w:sz w:val="20"/>
              </w:rPr>
              <w:t>Registo em nome de quem detém o animal e não de quem é dono</w:t>
            </w:r>
          </w:p>
        </w:tc>
      </w:tr>
      <w:tr>
        <w:tc>
          <w:tcPr>
            <w:tcW w:w="1247" w:type="dxa"/>
          </w:tcPr>
          <w:p>
            <w:pPr>
              <w:spacing w:after="60"/>
            </w:pPr>
            <w:r/>
            <w:r>
              <w:rPr>
                <w:b w:val="0"/>
                <w:sz w:val="20"/>
              </w:rPr>
              <w:t>T-03</w:t>
            </w:r>
          </w:p>
        </w:tc>
        <w:tc>
          <w:tcPr>
            <w:tcW w:w="1247" w:type="dxa"/>
          </w:tcPr>
          <w:p>
            <w:pPr>
              <w:spacing w:after="60"/>
            </w:pPr>
            <w:r/>
            <w:r>
              <w:rPr>
                <w:b w:val="0"/>
                <w:sz w:val="20"/>
              </w:rPr>
              <w:t>P-03</w:t>
            </w:r>
          </w:p>
        </w:tc>
        <w:tc>
          <w:tcPr>
            <w:tcW w:w="1474" w:type="dxa"/>
          </w:tcPr>
          <w:p>
            <w:pPr>
              <w:spacing w:after="60"/>
            </w:pPr>
            <w:r/>
            <w:r>
              <w:rPr>
                <w:b w:val="0"/>
                <w:sz w:val="20"/>
              </w:rPr>
              <w:t>TIT-03</w:t>
            </w:r>
          </w:p>
        </w:tc>
        <w:tc>
          <w:tcPr>
            <w:tcW w:w="5102" w:type="dxa"/>
          </w:tcPr>
          <w:p>
            <w:pPr>
              <w:spacing w:after="60"/>
            </w:pPr>
            <w:r/>
            <w:r>
              <w:rPr>
                <w:b w:val="0"/>
                <w:sz w:val="20"/>
              </w:rPr>
              <w:t>Sem regra sobre o valor do registo SIAC face à propriedade</w:t>
            </w:r>
          </w:p>
        </w:tc>
      </w:tr>
      <w:tr>
        <w:tc>
          <w:tcPr>
            <w:tcW w:w="1247" w:type="dxa"/>
          </w:tcPr>
          <w:p>
            <w:pPr>
              <w:spacing w:after="60"/>
            </w:pPr>
            <w:r/>
            <w:r>
              <w:rPr>
                <w:b w:val="0"/>
                <w:sz w:val="20"/>
              </w:rPr>
              <w:t>T-04</w:t>
            </w:r>
          </w:p>
        </w:tc>
        <w:tc>
          <w:tcPr>
            <w:tcW w:w="1247" w:type="dxa"/>
          </w:tcPr>
          <w:p>
            <w:pPr>
              <w:spacing w:after="60"/>
            </w:pPr>
            <w:r/>
            <w:r>
              <w:rPr>
                <w:b w:val="0"/>
                <w:sz w:val="20"/>
              </w:rPr>
              <w:t>P-04</w:t>
            </w:r>
          </w:p>
        </w:tc>
        <w:tc>
          <w:tcPr>
            <w:tcW w:w="1474" w:type="dxa"/>
          </w:tcPr>
          <w:p>
            <w:pPr>
              <w:spacing w:after="60"/>
            </w:pPr>
            <w:r/>
            <w:r>
              <w:rPr>
                <w:b w:val="0"/>
                <w:sz w:val="20"/>
              </w:rPr>
              <w:t>TIT-04</w:t>
            </w:r>
          </w:p>
        </w:tc>
        <w:tc>
          <w:tcPr>
            <w:tcW w:w="5102" w:type="dxa"/>
          </w:tcPr>
          <w:p>
            <w:pPr>
              <w:spacing w:after="60"/>
            </w:pPr>
            <w:r/>
            <w:r>
              <w:rPr>
                <w:b w:val="0"/>
                <w:sz w:val="20"/>
              </w:rPr>
              <w:t>O detentor deixa de ter de comunicar a morte do animal</w:t>
            </w:r>
          </w:p>
        </w:tc>
      </w:tr>
      <w:tr>
        <w:tc>
          <w:tcPr>
            <w:tcW w:w="1247" w:type="dxa"/>
          </w:tcPr>
          <w:p>
            <w:pPr>
              <w:spacing w:after="60"/>
            </w:pPr>
            <w:r/>
            <w:r>
              <w:rPr>
                <w:b w:val="0"/>
                <w:sz w:val="20"/>
              </w:rPr>
              <w:t>T-05</w:t>
            </w:r>
          </w:p>
        </w:tc>
        <w:tc>
          <w:tcPr>
            <w:tcW w:w="1247" w:type="dxa"/>
          </w:tcPr>
          <w:p>
            <w:pPr>
              <w:spacing w:after="60"/>
            </w:pPr>
            <w:r/>
            <w:r>
              <w:rPr>
                <w:b w:val="0"/>
                <w:sz w:val="20"/>
              </w:rPr>
              <w:t>P-05</w:t>
            </w:r>
          </w:p>
        </w:tc>
        <w:tc>
          <w:tcPr>
            <w:tcW w:w="1474" w:type="dxa"/>
          </w:tcPr>
          <w:p>
            <w:pPr>
              <w:spacing w:after="60"/>
            </w:pPr>
            <w:r/>
            <w:r>
              <w:rPr>
                <w:b w:val="0"/>
                <w:sz w:val="20"/>
              </w:rPr>
              <w:t>TIT-05</w:t>
            </w:r>
          </w:p>
        </w:tc>
        <w:tc>
          <w:tcPr>
            <w:tcW w:w="5102" w:type="dxa"/>
          </w:tcPr>
          <w:p>
            <w:pPr>
              <w:spacing w:after="60"/>
            </w:pPr>
            <w:r/>
            <w:r>
              <w:rPr>
                <w:b w:val="0"/>
                <w:sz w:val="20"/>
              </w:rPr>
              <w:t>A presunção de abandono remete para normas erradas e não diz a quem se aplica</w:t>
            </w:r>
          </w:p>
        </w:tc>
      </w:tr>
      <w:tr>
        <w:tc>
          <w:tcPr>
            <w:tcW w:w="1247" w:type="dxa"/>
          </w:tcPr>
          <w:p>
            <w:pPr>
              <w:spacing w:after="60"/>
            </w:pPr>
            <w:r/>
            <w:r>
              <w:rPr>
                <w:b w:val="0"/>
                <w:sz w:val="20"/>
              </w:rPr>
              <w:t>T-06</w:t>
            </w:r>
          </w:p>
        </w:tc>
        <w:tc>
          <w:tcPr>
            <w:tcW w:w="1247" w:type="dxa"/>
          </w:tcPr>
          <w:p>
            <w:pPr>
              <w:spacing w:after="60"/>
            </w:pPr>
            <w:r/>
            <w:r>
              <w:rPr>
                <w:b w:val="0"/>
                <w:sz w:val="20"/>
              </w:rPr>
              <w:t>P-06</w:t>
            </w:r>
          </w:p>
        </w:tc>
        <w:tc>
          <w:tcPr>
            <w:tcW w:w="1474" w:type="dxa"/>
          </w:tcPr>
          <w:p>
            <w:pPr>
              <w:spacing w:after="60"/>
            </w:pPr>
            <w:r/>
            <w:r>
              <w:rPr>
                <w:b w:val="0"/>
                <w:sz w:val="20"/>
              </w:rPr>
              <w:t>TIT-06</w:t>
            </w:r>
          </w:p>
        </w:tc>
        <w:tc>
          <w:tcPr>
            <w:tcW w:w="5102" w:type="dxa"/>
          </w:tcPr>
          <w:p>
            <w:pPr>
              <w:spacing w:after="60"/>
            </w:pPr>
            <w:r/>
            <w:r>
              <w:rPr>
                <w:b w:val="0"/>
                <w:sz w:val="20"/>
              </w:rPr>
              <w:t>O abandono não aparece como contraordenação</w:t>
            </w:r>
          </w:p>
        </w:tc>
      </w:tr>
      <w:tr>
        <w:tc>
          <w:tcPr>
            <w:tcW w:w="1247" w:type="dxa"/>
          </w:tcPr>
          <w:p>
            <w:pPr>
              <w:spacing w:after="60"/>
            </w:pPr>
            <w:r/>
            <w:r>
              <w:rPr>
                <w:b w:val="0"/>
                <w:sz w:val="20"/>
              </w:rPr>
              <w:t>T-07</w:t>
            </w:r>
          </w:p>
        </w:tc>
        <w:tc>
          <w:tcPr>
            <w:tcW w:w="1247" w:type="dxa"/>
          </w:tcPr>
          <w:p>
            <w:pPr>
              <w:spacing w:after="60"/>
            </w:pPr>
            <w:r/>
            <w:r>
              <w:rPr>
                <w:b w:val="0"/>
                <w:sz w:val="20"/>
              </w:rPr>
              <w:t>P-07</w:t>
            </w:r>
          </w:p>
        </w:tc>
        <w:tc>
          <w:tcPr>
            <w:tcW w:w="1474" w:type="dxa"/>
          </w:tcPr>
          <w:p>
            <w:pPr>
              <w:spacing w:after="60"/>
            </w:pPr>
            <w:r/>
            <w:r>
              <w:rPr>
                <w:b w:val="0"/>
                <w:sz w:val="20"/>
              </w:rPr>
              <w:t>TIT-07</w:t>
            </w:r>
          </w:p>
        </w:tc>
        <w:tc>
          <w:tcPr>
            <w:tcW w:w="5102" w:type="dxa"/>
          </w:tcPr>
          <w:p>
            <w:pPr>
              <w:spacing w:after="60"/>
            </w:pPr>
            <w:r/>
            <w:r>
              <w:rPr>
                <w:b w:val="0"/>
                <w:sz w:val="20"/>
              </w:rPr>
              <w:t>As portarias mantidas usam detentor no sentido antigo</w:t>
            </w:r>
          </w:p>
        </w:tc>
      </w:tr>
      <w:tr>
        <w:tc>
          <w:tcPr>
            <w:tcW w:w="1247" w:type="dxa"/>
          </w:tcPr>
          <w:p>
            <w:pPr>
              <w:spacing w:after="60"/>
            </w:pPr>
            <w:r/>
            <w:r>
              <w:rPr>
                <w:b w:val="0"/>
                <w:sz w:val="20"/>
              </w:rPr>
              <w:t>T-08</w:t>
            </w:r>
          </w:p>
        </w:tc>
        <w:tc>
          <w:tcPr>
            <w:tcW w:w="1247" w:type="dxa"/>
          </w:tcPr>
          <w:p>
            <w:pPr>
              <w:spacing w:after="60"/>
            </w:pPr>
            <w:r/>
            <w:r>
              <w:rPr>
                <w:b w:val="0"/>
                <w:sz w:val="20"/>
              </w:rPr>
              <w:t>P-08</w:t>
            </w:r>
          </w:p>
        </w:tc>
        <w:tc>
          <w:tcPr>
            <w:tcW w:w="1474" w:type="dxa"/>
          </w:tcPr>
          <w:p>
            <w:pPr>
              <w:spacing w:after="60"/>
            </w:pPr>
            <w:r/>
            <w:r>
              <w:rPr>
                <w:b w:val="0"/>
                <w:sz w:val="20"/>
              </w:rPr>
              <w:t>TIT-08</w:t>
            </w:r>
          </w:p>
        </w:tc>
        <w:tc>
          <w:tcPr>
            <w:tcW w:w="5102" w:type="dxa"/>
          </w:tcPr>
          <w:p>
            <w:pPr>
              <w:spacing w:after="60"/>
            </w:pPr>
            <w:r/>
            <w:r>
              <w:rPr>
                <w:b w:val="0"/>
                <w:sz w:val="20"/>
              </w:rPr>
              <w:t>Animais perigosos: o operador pode ser uma sociedade, o titular não</w:t>
            </w:r>
          </w:p>
        </w:tc>
      </w:tr>
      <w:tr>
        <w:tc>
          <w:tcPr>
            <w:tcW w:w="1247" w:type="dxa"/>
          </w:tcPr>
          <w:p>
            <w:pPr>
              <w:spacing w:after="60"/>
            </w:pPr>
            <w:r/>
            <w:r>
              <w:rPr>
                <w:b w:val="0"/>
                <w:sz w:val="20"/>
              </w:rPr>
              <w:t>T-09</w:t>
            </w:r>
          </w:p>
        </w:tc>
        <w:tc>
          <w:tcPr>
            <w:tcW w:w="1247" w:type="dxa"/>
          </w:tcPr>
          <w:p>
            <w:pPr>
              <w:spacing w:after="60"/>
            </w:pPr>
            <w:r/>
            <w:r>
              <w:rPr>
                <w:b w:val="0"/>
                <w:sz w:val="20"/>
              </w:rPr>
              <w:t>P-09</w:t>
            </w:r>
          </w:p>
        </w:tc>
        <w:tc>
          <w:tcPr>
            <w:tcW w:w="1474" w:type="dxa"/>
          </w:tcPr>
          <w:p>
            <w:pPr>
              <w:spacing w:after="60"/>
            </w:pPr>
            <w:r/>
            <w:r>
              <w:rPr>
                <w:b w:val="0"/>
                <w:sz w:val="20"/>
              </w:rPr>
              <w:t>TIT-09</w:t>
            </w:r>
          </w:p>
        </w:tc>
        <w:tc>
          <w:tcPr>
            <w:tcW w:w="5102" w:type="dxa"/>
          </w:tcPr>
          <w:p>
            <w:pPr>
              <w:spacing w:after="60"/>
            </w:pPr>
            <w:r/>
            <w:r>
              <w:rPr>
                <w:b w:val="0"/>
                <w:sz w:val="20"/>
              </w:rPr>
              <w:t>«Titular ou operador» quando o operador já é titular</w:t>
            </w:r>
          </w:p>
        </w:tc>
      </w:tr>
      <w:tr>
        <w:tc>
          <w:tcPr>
            <w:tcW w:w="1247" w:type="dxa"/>
          </w:tcPr>
          <w:p>
            <w:pPr>
              <w:spacing w:after="60"/>
            </w:pPr>
            <w:r/>
            <w:r>
              <w:rPr>
                <w:b w:val="0"/>
                <w:sz w:val="20"/>
              </w:rPr>
              <w:t>T-10</w:t>
            </w:r>
          </w:p>
        </w:tc>
        <w:tc>
          <w:tcPr>
            <w:tcW w:w="1247" w:type="dxa"/>
          </w:tcPr>
          <w:p>
            <w:pPr>
              <w:spacing w:after="60"/>
            </w:pPr>
            <w:r/>
            <w:r>
              <w:rPr>
                <w:b w:val="0"/>
                <w:sz w:val="20"/>
              </w:rPr>
              <w:t>P-10</w:t>
            </w:r>
          </w:p>
        </w:tc>
        <w:tc>
          <w:tcPr>
            <w:tcW w:w="1474" w:type="dxa"/>
          </w:tcPr>
          <w:p>
            <w:pPr>
              <w:spacing w:after="60"/>
            </w:pPr>
            <w:r/>
            <w:r>
              <w:rPr>
                <w:b w:val="0"/>
                <w:sz w:val="20"/>
              </w:rPr>
              <w:t>TIT-10</w:t>
            </w:r>
          </w:p>
        </w:tc>
        <w:tc>
          <w:tcPr>
            <w:tcW w:w="5102" w:type="dxa"/>
          </w:tcPr>
          <w:p>
            <w:pPr>
              <w:spacing w:after="60"/>
            </w:pPr>
            <w:r/>
            <w:r>
              <w:rPr>
                <w:b w:val="0"/>
                <w:sz w:val="20"/>
              </w:rPr>
              <w:t>Terminologia do CRO ainda não uniforme</w:t>
            </w:r>
          </w:p>
        </w:tc>
      </w:tr>
      <w:tr>
        <w:tc>
          <w:tcPr>
            <w:tcW w:w="1247" w:type="dxa"/>
          </w:tcPr>
          <w:p>
            <w:pPr>
              <w:spacing w:after="60"/>
            </w:pPr>
            <w:r/>
            <w:r>
              <w:rPr>
                <w:b w:val="0"/>
                <w:sz w:val="20"/>
              </w:rPr>
              <w:t>T-11</w:t>
            </w:r>
          </w:p>
        </w:tc>
        <w:tc>
          <w:tcPr>
            <w:tcW w:w="1247" w:type="dxa"/>
          </w:tcPr>
          <w:p>
            <w:pPr>
              <w:spacing w:after="60"/>
            </w:pPr>
            <w:r/>
            <w:r>
              <w:rPr>
                <w:b w:val="0"/>
                <w:sz w:val="20"/>
              </w:rPr>
              <w:t>P-11</w:t>
            </w:r>
          </w:p>
        </w:tc>
        <w:tc>
          <w:tcPr>
            <w:tcW w:w="1474" w:type="dxa"/>
          </w:tcPr>
          <w:p>
            <w:pPr>
              <w:spacing w:after="60"/>
            </w:pPr>
            <w:r/>
            <w:r>
              <w:rPr>
                <w:b w:val="0"/>
                <w:sz w:val="20"/>
              </w:rPr>
              <w:t>TIT-11</w:t>
            </w:r>
          </w:p>
        </w:tc>
        <w:tc>
          <w:tcPr>
            <w:tcW w:w="5102" w:type="dxa"/>
          </w:tcPr>
          <w:p>
            <w:pPr>
              <w:spacing w:after="60"/>
            </w:pPr>
            <w:r/>
            <w:r>
              <w:rPr>
                <w:b w:val="0"/>
                <w:sz w:val="20"/>
              </w:rPr>
              <w:t>Contraordenação dirigida só aos detentores</w:t>
            </w:r>
          </w:p>
        </w:tc>
      </w:tr>
      <w:tr>
        <w:tc>
          <w:tcPr>
            <w:tcW w:w="1247" w:type="dxa"/>
          </w:tcPr>
          <w:p>
            <w:pPr>
              <w:spacing w:after="60"/>
            </w:pPr>
            <w:r/>
            <w:r>
              <w:rPr>
                <w:b w:val="0"/>
                <w:sz w:val="20"/>
              </w:rPr>
              <w:t>T-12</w:t>
            </w:r>
          </w:p>
        </w:tc>
        <w:tc>
          <w:tcPr>
            <w:tcW w:w="1247" w:type="dxa"/>
          </w:tcPr>
          <w:p>
            <w:pPr>
              <w:spacing w:after="60"/>
            </w:pPr>
            <w:r/>
            <w:r>
              <w:rPr>
                <w:b w:val="0"/>
                <w:sz w:val="20"/>
              </w:rPr>
              <w:t>P-12</w:t>
            </w:r>
          </w:p>
        </w:tc>
        <w:tc>
          <w:tcPr>
            <w:tcW w:w="1474" w:type="dxa"/>
          </w:tcPr>
          <w:p>
            <w:pPr>
              <w:spacing w:after="60"/>
            </w:pPr>
            <w:r/>
            <w:r>
              <w:rPr>
                <w:b w:val="0"/>
                <w:sz w:val="20"/>
              </w:rPr>
              <w:t>TIT-12</w:t>
            </w:r>
          </w:p>
        </w:tc>
        <w:tc>
          <w:tcPr>
            <w:tcW w:w="5102" w:type="dxa"/>
          </w:tcPr>
          <w:p>
            <w:pPr>
              <w:spacing w:after="60"/>
            </w:pPr>
            <w:r/>
            <w:r>
              <w:rPr>
                <w:b w:val="0"/>
                <w:sz w:val="20"/>
              </w:rPr>
              <w:t>Redação por decidir no art. 22.º</w:t>
            </w:r>
          </w:p>
        </w:tc>
      </w:tr>
      <w:tr>
        <w:tc>
          <w:tcPr>
            <w:tcW w:w="1247" w:type="dxa"/>
          </w:tcPr>
          <w:p>
            <w:pPr>
              <w:spacing w:after="60"/>
            </w:pPr>
            <w:r/>
            <w:r>
              <w:rPr>
                <w:b w:val="0"/>
                <w:sz w:val="20"/>
              </w:rPr>
              <w:t>T-13</w:t>
            </w:r>
          </w:p>
        </w:tc>
        <w:tc>
          <w:tcPr>
            <w:tcW w:w="1247" w:type="dxa"/>
          </w:tcPr>
          <w:p>
            <w:pPr>
              <w:spacing w:after="60"/>
            </w:pPr>
            <w:r/>
            <w:r>
              <w:rPr>
                <w:b w:val="0"/>
                <w:sz w:val="20"/>
              </w:rPr>
              <w:t>P-13</w:t>
            </w:r>
          </w:p>
        </w:tc>
        <w:tc>
          <w:tcPr>
            <w:tcW w:w="1474" w:type="dxa"/>
          </w:tcPr>
          <w:p>
            <w:pPr>
              <w:spacing w:after="60"/>
            </w:pPr>
            <w:r/>
            <w:r>
              <w:rPr>
                <w:b w:val="0"/>
                <w:sz w:val="20"/>
              </w:rPr>
              <w:t>TIT-13</w:t>
            </w:r>
          </w:p>
        </w:tc>
        <w:tc>
          <w:tcPr>
            <w:tcW w:w="5102" w:type="dxa"/>
          </w:tcPr>
          <w:p>
            <w:pPr>
              <w:spacing w:after="60"/>
            </w:pPr>
            <w:r/>
            <w:r>
              <w:rPr>
                <w:b w:val="0"/>
                <w:sz w:val="20"/>
              </w:rPr>
              <w:t>Quem responde pelos danos causados pelo animal</w:t>
            </w:r>
          </w:p>
        </w:tc>
      </w:tr>
      <w:tr>
        <w:tc>
          <w:tcPr>
            <w:tcW w:w="1247" w:type="dxa"/>
          </w:tcPr>
          <w:p>
            <w:pPr>
              <w:spacing w:after="60"/>
            </w:pPr>
            <w:r/>
            <w:r>
              <w:rPr>
                <w:b w:val="0"/>
                <w:sz w:val="20"/>
              </w:rPr>
              <w:t>T-14</w:t>
            </w:r>
          </w:p>
        </w:tc>
        <w:tc>
          <w:tcPr>
            <w:tcW w:w="1247" w:type="dxa"/>
          </w:tcPr>
          <w:p>
            <w:pPr>
              <w:spacing w:after="60"/>
            </w:pPr>
            <w:r/>
            <w:r>
              <w:rPr>
                <w:b w:val="0"/>
                <w:sz w:val="20"/>
              </w:rPr>
              <w:t>P-14</w:t>
            </w:r>
          </w:p>
        </w:tc>
        <w:tc>
          <w:tcPr>
            <w:tcW w:w="1474" w:type="dxa"/>
          </w:tcPr>
          <w:p>
            <w:pPr>
              <w:spacing w:after="60"/>
            </w:pPr>
            <w:r/>
            <w:r>
              <w:rPr>
                <w:b w:val="0"/>
                <w:sz w:val="20"/>
              </w:rPr>
              <w:t>TIT-14</w:t>
            </w:r>
          </w:p>
        </w:tc>
        <w:tc>
          <w:tcPr>
            <w:tcW w:w="5102" w:type="dxa"/>
          </w:tcPr>
          <w:p>
            <w:pPr>
              <w:spacing w:after="60"/>
            </w:pPr>
            <w:r/>
            <w:r>
              <w:rPr>
                <w:b w:val="0"/>
                <w:sz w:val="20"/>
              </w:rPr>
              <w:t>Família de acolhimento sem operador fica sem enquadramento</w:t>
            </w:r>
          </w:p>
        </w:tc>
      </w:tr>
      <w:tr>
        <w:tc>
          <w:tcPr>
            <w:tcW w:w="1247" w:type="dxa"/>
          </w:tcPr>
          <w:p>
            <w:pPr>
              <w:spacing w:after="60"/>
            </w:pPr>
            <w:r/>
            <w:r>
              <w:rPr>
                <w:b w:val="0"/>
                <w:sz w:val="20"/>
              </w:rPr>
              <w:t>T-15</w:t>
            </w:r>
          </w:p>
        </w:tc>
        <w:tc>
          <w:tcPr>
            <w:tcW w:w="1247" w:type="dxa"/>
          </w:tcPr>
          <w:p>
            <w:pPr>
              <w:spacing w:after="60"/>
            </w:pPr>
            <w:r/>
            <w:r>
              <w:rPr>
                <w:b w:val="0"/>
                <w:sz w:val="20"/>
              </w:rPr>
              <w:t>P-15</w:t>
            </w:r>
          </w:p>
        </w:tc>
        <w:tc>
          <w:tcPr>
            <w:tcW w:w="1474" w:type="dxa"/>
          </w:tcPr>
          <w:p>
            <w:pPr>
              <w:spacing w:after="60"/>
            </w:pPr>
            <w:r/>
            <w:r>
              <w:rPr>
                <w:b w:val="0"/>
                <w:sz w:val="20"/>
              </w:rPr>
              <w:t>TIT-15</w:t>
            </w:r>
          </w:p>
        </w:tc>
        <w:tc>
          <w:tcPr>
            <w:tcW w:w="5102" w:type="dxa"/>
          </w:tcPr>
          <w:p>
            <w:pPr>
              <w:spacing w:after="60"/>
            </w:pPr>
            <w:r/>
            <w:r>
              <w:rPr>
                <w:b w:val="0"/>
                <w:sz w:val="20"/>
              </w:rPr>
              <w:t>Quem encontra um animal passa a poder ser punido</w:t>
            </w:r>
          </w:p>
        </w:tc>
      </w:tr>
      <w:tr>
        <w:tc>
          <w:tcPr>
            <w:tcW w:w="1247" w:type="dxa"/>
          </w:tcPr>
          <w:p>
            <w:pPr>
              <w:spacing w:after="60"/>
            </w:pPr>
            <w:r/>
            <w:r>
              <w:rPr>
                <w:b w:val="0"/>
                <w:sz w:val="20"/>
              </w:rPr>
              <w:t>T-16</w:t>
            </w:r>
          </w:p>
        </w:tc>
        <w:tc>
          <w:tcPr>
            <w:tcW w:w="1247" w:type="dxa"/>
          </w:tcPr>
          <w:p>
            <w:pPr>
              <w:spacing w:after="60"/>
            </w:pPr>
            <w:r/>
            <w:r>
              <w:rPr>
                <w:b w:val="0"/>
                <w:sz w:val="20"/>
              </w:rPr>
              <w:t>P-16</w:t>
            </w:r>
          </w:p>
        </w:tc>
        <w:tc>
          <w:tcPr>
            <w:tcW w:w="1474" w:type="dxa"/>
          </w:tcPr>
          <w:p>
            <w:pPr>
              <w:spacing w:after="60"/>
            </w:pPr>
            <w:r/>
            <w:r>
              <w:rPr>
                <w:b w:val="0"/>
                <w:sz w:val="20"/>
              </w:rPr>
              <w:t>TIT-16</w:t>
            </w:r>
          </w:p>
        </w:tc>
        <w:tc>
          <w:tcPr>
            <w:tcW w:w="5102" w:type="dxa"/>
          </w:tcPr>
          <w:p>
            <w:pPr>
              <w:spacing w:after="60"/>
            </w:pPr>
            <w:r/>
            <w:r>
              <w:rPr>
                <w:b w:val="0"/>
                <w:sz w:val="20"/>
              </w:rPr>
              <w:t>Detentores de facto que dizem tratar de animais errantes</w:t>
            </w:r>
          </w:p>
        </w:tc>
      </w:tr>
      <w:tr>
        <w:tc>
          <w:tcPr>
            <w:tcW w:w="1247" w:type="dxa"/>
          </w:tcPr>
          <w:p>
            <w:pPr>
              <w:spacing w:after="60"/>
            </w:pPr>
            <w:r/>
            <w:r>
              <w:rPr>
                <w:b w:val="0"/>
                <w:sz w:val="20"/>
              </w:rPr>
              <w:t>T-17</w:t>
            </w:r>
          </w:p>
        </w:tc>
        <w:tc>
          <w:tcPr>
            <w:tcW w:w="1247" w:type="dxa"/>
          </w:tcPr>
          <w:p>
            <w:pPr>
              <w:spacing w:after="60"/>
            </w:pPr>
            <w:r/>
            <w:r>
              <w:rPr>
                <w:b w:val="0"/>
                <w:sz w:val="20"/>
              </w:rPr>
              <w:t>P-17</w:t>
            </w:r>
          </w:p>
        </w:tc>
        <w:tc>
          <w:tcPr>
            <w:tcW w:w="1474" w:type="dxa"/>
          </w:tcPr>
          <w:p>
            <w:pPr>
              <w:spacing w:after="60"/>
            </w:pPr>
            <w:r/>
            <w:r>
              <w:rPr>
                <w:b w:val="0"/>
                <w:sz w:val="20"/>
              </w:rPr>
              <w:t>TIT-17</w:t>
            </w:r>
          </w:p>
        </w:tc>
        <w:tc>
          <w:tcPr>
            <w:tcW w:w="5102" w:type="dxa"/>
          </w:tcPr>
          <w:p>
            <w:pPr>
              <w:spacing w:after="60"/>
            </w:pPr>
            <w:r/>
            <w:r>
              <w:rPr>
                <w:b w:val="0"/>
                <w:sz w:val="20"/>
              </w:rPr>
              <w:t>Prazos de comunicação ao SIAC mais pesados do que o Regulamento europeu</w:t>
            </w:r>
          </w:p>
        </w:tc>
      </w:tr>
      <w:tr>
        <w:tc>
          <w:tcPr>
            <w:tcW w:w="1247" w:type="dxa"/>
          </w:tcPr>
          <w:p>
            <w:pPr>
              <w:spacing w:after="60"/>
            </w:pPr>
            <w:r/>
            <w:r>
              <w:rPr>
                <w:b w:val="0"/>
                <w:sz w:val="20"/>
              </w:rPr>
              <w:t>T-18</w:t>
            </w:r>
          </w:p>
        </w:tc>
        <w:tc>
          <w:tcPr>
            <w:tcW w:w="1247" w:type="dxa"/>
          </w:tcPr>
          <w:p>
            <w:pPr>
              <w:spacing w:after="60"/>
            </w:pPr>
            <w:r/>
            <w:r>
              <w:rPr>
                <w:b w:val="0"/>
                <w:sz w:val="20"/>
              </w:rPr>
              <w:t>P-18</w:t>
            </w:r>
          </w:p>
        </w:tc>
        <w:tc>
          <w:tcPr>
            <w:tcW w:w="1474" w:type="dxa"/>
          </w:tcPr>
          <w:p>
            <w:pPr>
              <w:spacing w:after="60"/>
            </w:pPr>
            <w:r/>
            <w:r>
              <w:rPr>
                <w:b w:val="0"/>
                <w:sz w:val="20"/>
              </w:rPr>
              <w:t>TIT-18</w:t>
            </w:r>
          </w:p>
        </w:tc>
        <w:tc>
          <w:tcPr>
            <w:tcW w:w="5102" w:type="dxa"/>
          </w:tcPr>
          <w:p>
            <w:pPr>
              <w:spacing w:after="60"/>
            </w:pPr>
            <w:r/>
            <w:r>
              <w:rPr>
                <w:b w:val="0"/>
                <w:sz w:val="20"/>
              </w:rPr>
              <w:t>Animais deixados em centros veterinários</w:t>
            </w:r>
          </w:p>
        </w:tc>
      </w:tr>
      <w:tr>
        <w:tc>
          <w:tcPr>
            <w:tcW w:w="1247" w:type="dxa"/>
          </w:tcPr>
          <w:p>
            <w:pPr>
              <w:spacing w:after="60"/>
            </w:pPr>
            <w:r/>
            <w:r>
              <w:rPr>
                <w:b w:val="0"/>
                <w:sz w:val="20"/>
              </w:rPr>
              <w:t>T-19</w:t>
            </w:r>
          </w:p>
        </w:tc>
        <w:tc>
          <w:tcPr>
            <w:tcW w:w="1247" w:type="dxa"/>
          </w:tcPr>
          <w:p>
            <w:pPr>
              <w:spacing w:after="60"/>
            </w:pPr>
            <w:r/>
            <w:r>
              <w:rPr>
                <w:b w:val="0"/>
                <w:sz w:val="20"/>
              </w:rPr>
              <w:t>P-36</w:t>
            </w:r>
          </w:p>
        </w:tc>
        <w:tc>
          <w:tcPr>
            <w:tcW w:w="1474" w:type="dxa"/>
          </w:tcPr>
          <w:p>
            <w:pPr>
              <w:spacing w:after="60"/>
            </w:pPr>
            <w:r/>
            <w:r>
              <w:rPr>
                <w:b w:val="0"/>
                <w:sz w:val="20"/>
              </w:rPr>
              <w:t>TIT-19</w:t>
            </w:r>
          </w:p>
        </w:tc>
        <w:tc>
          <w:tcPr>
            <w:tcW w:w="5102" w:type="dxa"/>
          </w:tcPr>
          <w:p>
            <w:pPr>
              <w:spacing w:after="60"/>
            </w:pPr>
            <w:r/>
            <w:r>
              <w:rPr>
                <w:b w:val="0"/>
                <w:sz w:val="20"/>
              </w:rPr>
              <w:t>Nada diz quem é titular quando o animal não tem proprietário</w:t>
            </w:r>
          </w:p>
        </w:tc>
      </w:tr>
      <w:tr>
        <w:tc>
          <w:tcPr>
            <w:tcW w:w="1247" w:type="dxa"/>
          </w:tcPr>
          <w:p>
            <w:pPr>
              <w:spacing w:after="60"/>
            </w:pPr>
            <w:r/>
            <w:r>
              <w:rPr>
                <w:b w:val="0"/>
                <w:sz w:val="20"/>
              </w:rPr>
              <w:t>C-01</w:t>
            </w:r>
          </w:p>
        </w:tc>
        <w:tc>
          <w:tcPr>
            <w:tcW w:w="1247" w:type="dxa"/>
          </w:tcPr>
          <w:p>
            <w:pPr>
              <w:spacing w:after="60"/>
            </w:pPr>
            <w:r/>
            <w:r>
              <w:rPr>
                <w:b w:val="0"/>
                <w:sz w:val="20"/>
              </w:rPr>
              <w:t>P-19</w:t>
            </w:r>
          </w:p>
        </w:tc>
        <w:tc>
          <w:tcPr>
            <w:tcW w:w="1474" w:type="dxa"/>
          </w:tcPr>
          <w:p>
            <w:pPr>
              <w:spacing w:after="60"/>
            </w:pPr>
            <w:r/>
            <w:r>
              <w:rPr>
                <w:b w:val="0"/>
                <w:sz w:val="20"/>
              </w:rPr>
              <w:t>CED-01</w:t>
            </w:r>
          </w:p>
        </w:tc>
        <w:tc>
          <w:tcPr>
            <w:tcW w:w="5102" w:type="dxa"/>
          </w:tcPr>
          <w:p>
            <w:pPr>
              <w:spacing w:after="60"/>
            </w:pPr>
            <w:r/>
            <w:r>
              <w:rPr>
                <w:b w:val="0"/>
                <w:sz w:val="20"/>
              </w:rPr>
              <w:t>O CED passa a ser só uma faculdade das câmaras</w:t>
            </w:r>
          </w:p>
        </w:tc>
      </w:tr>
      <w:tr>
        <w:tc>
          <w:tcPr>
            <w:tcW w:w="1247" w:type="dxa"/>
          </w:tcPr>
          <w:p>
            <w:pPr>
              <w:spacing w:after="60"/>
            </w:pPr>
            <w:r/>
            <w:r>
              <w:rPr>
                <w:b w:val="0"/>
                <w:sz w:val="20"/>
              </w:rPr>
              <w:t>C-02</w:t>
            </w:r>
          </w:p>
        </w:tc>
        <w:tc>
          <w:tcPr>
            <w:tcW w:w="1247" w:type="dxa"/>
          </w:tcPr>
          <w:p>
            <w:pPr>
              <w:spacing w:after="60"/>
            </w:pPr>
            <w:r/>
            <w:r>
              <w:rPr>
                <w:b w:val="0"/>
                <w:sz w:val="20"/>
              </w:rPr>
              <w:t>P-20</w:t>
            </w:r>
          </w:p>
        </w:tc>
        <w:tc>
          <w:tcPr>
            <w:tcW w:w="1474" w:type="dxa"/>
          </w:tcPr>
          <w:p>
            <w:pPr>
              <w:spacing w:after="60"/>
            </w:pPr>
            <w:r/>
            <w:r>
              <w:rPr>
                <w:b w:val="0"/>
                <w:sz w:val="20"/>
              </w:rPr>
              <w:t>CED-02</w:t>
            </w:r>
          </w:p>
        </w:tc>
        <w:tc>
          <w:tcPr>
            <w:tcW w:w="5102" w:type="dxa"/>
          </w:tcPr>
          <w:p>
            <w:pPr>
              <w:spacing w:after="60"/>
            </w:pPr>
            <w:r/>
            <w:r>
              <w:rPr>
                <w:b w:val="0"/>
                <w:sz w:val="20"/>
              </w:rPr>
              <w:t>O cuidador de colónia não existe no texto</w:t>
            </w:r>
          </w:p>
        </w:tc>
      </w:tr>
      <w:tr>
        <w:tc>
          <w:tcPr>
            <w:tcW w:w="1247" w:type="dxa"/>
          </w:tcPr>
          <w:p>
            <w:pPr>
              <w:spacing w:after="60"/>
            </w:pPr>
            <w:r/>
            <w:r>
              <w:rPr>
                <w:b w:val="0"/>
                <w:sz w:val="20"/>
              </w:rPr>
              <w:t>C-03</w:t>
            </w:r>
          </w:p>
        </w:tc>
        <w:tc>
          <w:tcPr>
            <w:tcW w:w="1247" w:type="dxa"/>
          </w:tcPr>
          <w:p>
            <w:pPr>
              <w:spacing w:after="60"/>
            </w:pPr>
            <w:r/>
            <w:r>
              <w:rPr>
                <w:b w:val="0"/>
                <w:sz w:val="20"/>
              </w:rPr>
              <w:t>P-21</w:t>
            </w:r>
          </w:p>
        </w:tc>
        <w:tc>
          <w:tcPr>
            <w:tcW w:w="1474" w:type="dxa"/>
          </w:tcPr>
          <w:p>
            <w:pPr>
              <w:spacing w:after="60"/>
            </w:pPr>
            <w:r/>
            <w:r>
              <w:rPr>
                <w:b w:val="0"/>
                <w:sz w:val="20"/>
              </w:rPr>
              <w:t>CED-03</w:t>
            </w:r>
          </w:p>
        </w:tc>
        <w:tc>
          <w:tcPr>
            <w:tcW w:w="5102" w:type="dxa"/>
          </w:tcPr>
          <w:p>
            <w:pPr>
              <w:spacing w:after="60"/>
            </w:pPr>
            <w:r/>
            <w:r>
              <w:rPr>
                <w:b w:val="0"/>
                <w:sz w:val="20"/>
              </w:rPr>
              <w:t>Proibição nacional de alimentar animais na via pública</w:t>
            </w:r>
          </w:p>
        </w:tc>
      </w:tr>
      <w:tr>
        <w:tc>
          <w:tcPr>
            <w:tcW w:w="1247" w:type="dxa"/>
          </w:tcPr>
          <w:p>
            <w:pPr>
              <w:spacing w:after="60"/>
            </w:pPr>
            <w:r/>
            <w:r>
              <w:rPr>
                <w:b w:val="0"/>
                <w:sz w:val="20"/>
              </w:rPr>
              <w:t>C-04</w:t>
            </w:r>
          </w:p>
        </w:tc>
        <w:tc>
          <w:tcPr>
            <w:tcW w:w="1247" w:type="dxa"/>
          </w:tcPr>
          <w:p>
            <w:pPr>
              <w:spacing w:after="60"/>
            </w:pPr>
            <w:r/>
            <w:r>
              <w:rPr>
                <w:b w:val="0"/>
                <w:sz w:val="20"/>
              </w:rPr>
              <w:t>P-22</w:t>
            </w:r>
          </w:p>
        </w:tc>
        <w:tc>
          <w:tcPr>
            <w:tcW w:w="1474" w:type="dxa"/>
          </w:tcPr>
          <w:p>
            <w:pPr>
              <w:spacing w:after="60"/>
            </w:pPr>
            <w:r/>
            <w:r>
              <w:rPr>
                <w:b w:val="0"/>
                <w:sz w:val="20"/>
              </w:rPr>
              <w:t>CED-04</w:t>
            </w:r>
          </w:p>
        </w:tc>
        <w:tc>
          <w:tcPr>
            <w:tcW w:w="5102" w:type="dxa"/>
          </w:tcPr>
          <w:p>
            <w:pPr>
              <w:spacing w:after="60"/>
            </w:pPr>
            <w:r/>
            <w:r>
              <w:rPr>
                <w:b w:val="0"/>
                <w:sz w:val="20"/>
              </w:rPr>
              <w:t>Só as câmaras podem capturar, mas o CED pode ser gerido por outras entidades</w:t>
            </w:r>
          </w:p>
        </w:tc>
      </w:tr>
      <w:tr>
        <w:tc>
          <w:tcPr>
            <w:tcW w:w="1247" w:type="dxa"/>
          </w:tcPr>
          <w:p>
            <w:pPr>
              <w:spacing w:after="60"/>
            </w:pPr>
            <w:r/>
            <w:r>
              <w:rPr>
                <w:b w:val="0"/>
                <w:sz w:val="20"/>
              </w:rPr>
              <w:t>C-05</w:t>
            </w:r>
          </w:p>
        </w:tc>
        <w:tc>
          <w:tcPr>
            <w:tcW w:w="1247" w:type="dxa"/>
          </w:tcPr>
          <w:p>
            <w:pPr>
              <w:spacing w:after="60"/>
            </w:pPr>
            <w:r/>
            <w:r>
              <w:rPr>
                <w:b w:val="0"/>
                <w:sz w:val="20"/>
              </w:rPr>
              <w:t>P-23</w:t>
            </w:r>
          </w:p>
        </w:tc>
        <w:tc>
          <w:tcPr>
            <w:tcW w:w="1474" w:type="dxa"/>
          </w:tcPr>
          <w:p>
            <w:pPr>
              <w:spacing w:after="60"/>
            </w:pPr>
            <w:r/>
            <w:r>
              <w:rPr>
                <w:b w:val="0"/>
                <w:sz w:val="20"/>
              </w:rPr>
              <w:t>CED-05</w:t>
            </w:r>
          </w:p>
        </w:tc>
        <w:tc>
          <w:tcPr>
            <w:tcW w:w="5102" w:type="dxa"/>
          </w:tcPr>
          <w:p>
            <w:pPr>
              <w:spacing w:after="60"/>
            </w:pPr>
            <w:r/>
            <w:r>
              <w:rPr>
                <w:b w:val="0"/>
                <w:sz w:val="20"/>
              </w:rPr>
              <w:t>Passagem obrigatória pelo CRO antes de o gato entrar na colónia</w:t>
            </w:r>
          </w:p>
        </w:tc>
      </w:tr>
      <w:tr>
        <w:tc>
          <w:tcPr>
            <w:tcW w:w="1247" w:type="dxa"/>
          </w:tcPr>
          <w:p>
            <w:pPr>
              <w:spacing w:after="60"/>
            </w:pPr>
            <w:r/>
            <w:r>
              <w:rPr>
                <w:b w:val="0"/>
                <w:sz w:val="20"/>
              </w:rPr>
              <w:t>C-06</w:t>
            </w:r>
          </w:p>
        </w:tc>
        <w:tc>
          <w:tcPr>
            <w:tcW w:w="1247" w:type="dxa"/>
          </w:tcPr>
          <w:p>
            <w:pPr>
              <w:spacing w:after="60"/>
            </w:pPr>
            <w:r/>
            <w:r>
              <w:rPr>
                <w:b w:val="0"/>
                <w:sz w:val="20"/>
              </w:rPr>
              <w:t>P-24</w:t>
            </w:r>
          </w:p>
        </w:tc>
        <w:tc>
          <w:tcPr>
            <w:tcW w:w="1474" w:type="dxa"/>
          </w:tcPr>
          <w:p>
            <w:pPr>
              <w:spacing w:after="60"/>
            </w:pPr>
            <w:r/>
            <w:r>
              <w:rPr>
                <w:b w:val="0"/>
                <w:sz w:val="20"/>
              </w:rPr>
              <w:t>CED-06</w:t>
            </w:r>
          </w:p>
        </w:tc>
        <w:tc>
          <w:tcPr>
            <w:tcW w:w="5102" w:type="dxa"/>
          </w:tcPr>
          <w:p>
            <w:pPr>
              <w:spacing w:after="60"/>
            </w:pPr>
            <w:r/>
            <w:r>
              <w:rPr>
                <w:b w:val="0"/>
                <w:sz w:val="20"/>
              </w:rPr>
              <w:t>Exclusão dos cães do CED</w:t>
            </w:r>
          </w:p>
        </w:tc>
      </w:tr>
      <w:tr>
        <w:tc>
          <w:tcPr>
            <w:tcW w:w="1247" w:type="dxa"/>
          </w:tcPr>
          <w:p>
            <w:pPr>
              <w:spacing w:after="60"/>
            </w:pPr>
            <w:r/>
            <w:r>
              <w:rPr>
                <w:b w:val="0"/>
                <w:sz w:val="20"/>
              </w:rPr>
              <w:t>C-07</w:t>
            </w:r>
          </w:p>
        </w:tc>
        <w:tc>
          <w:tcPr>
            <w:tcW w:w="1247" w:type="dxa"/>
          </w:tcPr>
          <w:p>
            <w:pPr>
              <w:spacing w:after="60"/>
            </w:pPr>
            <w:r/>
            <w:r>
              <w:rPr>
                <w:b w:val="0"/>
                <w:sz w:val="20"/>
              </w:rPr>
              <w:t>P-25</w:t>
            </w:r>
          </w:p>
        </w:tc>
        <w:tc>
          <w:tcPr>
            <w:tcW w:w="1474" w:type="dxa"/>
          </w:tcPr>
          <w:p>
            <w:pPr>
              <w:spacing w:after="60"/>
            </w:pPr>
            <w:r/>
            <w:r>
              <w:rPr>
                <w:b w:val="0"/>
                <w:sz w:val="20"/>
              </w:rPr>
              <w:t>CED-07</w:t>
            </w:r>
          </w:p>
        </w:tc>
        <w:tc>
          <w:tcPr>
            <w:tcW w:w="5102" w:type="dxa"/>
          </w:tcPr>
          <w:p>
            <w:pPr>
              <w:spacing w:after="60"/>
            </w:pPr>
            <w:r/>
            <w:r>
              <w:rPr>
                <w:b w:val="0"/>
                <w:sz w:val="20"/>
              </w:rPr>
              <w:t>Remissões e numeração erradas no artigo do CED</w:t>
            </w:r>
          </w:p>
        </w:tc>
      </w:tr>
      <w:tr>
        <w:tc>
          <w:tcPr>
            <w:tcW w:w="1247" w:type="dxa"/>
          </w:tcPr>
          <w:p>
            <w:pPr>
              <w:spacing w:after="60"/>
            </w:pPr>
            <w:r/>
            <w:r>
              <w:rPr>
                <w:b w:val="0"/>
                <w:sz w:val="20"/>
              </w:rPr>
              <w:t>C-08</w:t>
            </w:r>
          </w:p>
        </w:tc>
        <w:tc>
          <w:tcPr>
            <w:tcW w:w="1247" w:type="dxa"/>
          </w:tcPr>
          <w:p>
            <w:pPr>
              <w:spacing w:after="60"/>
            </w:pPr>
            <w:r/>
            <w:r>
              <w:rPr>
                <w:b w:val="0"/>
                <w:sz w:val="20"/>
              </w:rPr>
              <w:t>P-26</w:t>
            </w:r>
          </w:p>
        </w:tc>
        <w:tc>
          <w:tcPr>
            <w:tcW w:w="1474" w:type="dxa"/>
          </w:tcPr>
          <w:p>
            <w:pPr>
              <w:spacing w:after="60"/>
            </w:pPr>
            <w:r/>
            <w:r>
              <w:rPr>
                <w:b w:val="0"/>
                <w:sz w:val="20"/>
              </w:rPr>
              <w:t>CED-08</w:t>
            </w:r>
          </w:p>
        </w:tc>
        <w:tc>
          <w:tcPr>
            <w:tcW w:w="5102" w:type="dxa"/>
          </w:tcPr>
          <w:p>
            <w:pPr>
              <w:spacing w:after="60"/>
            </w:pPr>
            <w:r/>
            <w:r>
              <w:rPr>
                <w:b w:val="0"/>
                <w:sz w:val="20"/>
              </w:rPr>
              <w:t>Entidade promotora, entidade responsável e titular: quem responde pela colónia</w:t>
            </w:r>
          </w:p>
        </w:tc>
      </w:tr>
      <w:tr>
        <w:tc>
          <w:tcPr>
            <w:tcW w:w="1247" w:type="dxa"/>
          </w:tcPr>
          <w:p>
            <w:pPr>
              <w:spacing w:after="60"/>
            </w:pPr>
            <w:r/>
            <w:r>
              <w:rPr>
                <w:b w:val="0"/>
                <w:sz w:val="20"/>
              </w:rPr>
              <w:t>C-09</w:t>
            </w:r>
          </w:p>
        </w:tc>
        <w:tc>
          <w:tcPr>
            <w:tcW w:w="1247" w:type="dxa"/>
          </w:tcPr>
          <w:p>
            <w:pPr>
              <w:spacing w:after="60"/>
            </w:pPr>
            <w:r/>
            <w:r>
              <w:rPr>
                <w:b w:val="0"/>
                <w:sz w:val="20"/>
              </w:rPr>
              <w:t>P-27</w:t>
            </w:r>
          </w:p>
        </w:tc>
        <w:tc>
          <w:tcPr>
            <w:tcW w:w="1474" w:type="dxa"/>
          </w:tcPr>
          <w:p>
            <w:pPr>
              <w:spacing w:after="60"/>
            </w:pPr>
            <w:r/>
            <w:r>
              <w:rPr>
                <w:b w:val="0"/>
                <w:sz w:val="20"/>
              </w:rPr>
              <w:t>CED-09</w:t>
            </w:r>
          </w:p>
        </w:tc>
        <w:tc>
          <w:tcPr>
            <w:tcW w:w="5102" w:type="dxa"/>
          </w:tcPr>
          <w:p>
            <w:pPr>
              <w:spacing w:after="60"/>
            </w:pPr>
            <w:r/>
            <w:r>
              <w:rPr>
                <w:b w:val="0"/>
                <w:sz w:val="20"/>
              </w:rPr>
              <w:t>Registo da colónia no SIAC sem conteúdo definido</w:t>
            </w:r>
          </w:p>
        </w:tc>
      </w:tr>
      <w:tr>
        <w:tc>
          <w:tcPr>
            <w:tcW w:w="1247" w:type="dxa"/>
          </w:tcPr>
          <w:p>
            <w:pPr>
              <w:spacing w:after="60"/>
            </w:pPr>
            <w:r/>
            <w:r>
              <w:rPr>
                <w:b w:val="0"/>
                <w:sz w:val="20"/>
              </w:rPr>
              <w:t>C-10</w:t>
            </w:r>
          </w:p>
        </w:tc>
        <w:tc>
          <w:tcPr>
            <w:tcW w:w="1247" w:type="dxa"/>
          </w:tcPr>
          <w:p>
            <w:pPr>
              <w:spacing w:after="60"/>
            </w:pPr>
            <w:r/>
            <w:r>
              <w:rPr>
                <w:b w:val="0"/>
                <w:sz w:val="20"/>
              </w:rPr>
              <w:t>P-28</w:t>
            </w:r>
          </w:p>
        </w:tc>
        <w:tc>
          <w:tcPr>
            <w:tcW w:w="1474" w:type="dxa"/>
          </w:tcPr>
          <w:p>
            <w:pPr>
              <w:spacing w:after="60"/>
            </w:pPr>
            <w:r/>
            <w:r>
              <w:rPr>
                <w:b w:val="0"/>
                <w:sz w:val="20"/>
              </w:rPr>
              <w:t>CED-10</w:t>
            </w:r>
          </w:p>
        </w:tc>
        <w:tc>
          <w:tcPr>
            <w:tcW w:w="5102" w:type="dxa"/>
          </w:tcPr>
          <w:p>
            <w:pPr>
              <w:spacing w:after="60"/>
            </w:pPr>
            <w:r/>
            <w:r>
              <w:rPr>
                <w:b w:val="0"/>
                <w:sz w:val="20"/>
              </w:rPr>
              <w:t>Colónias em prédios privados</w:t>
            </w:r>
          </w:p>
        </w:tc>
      </w:tr>
      <w:tr>
        <w:tc>
          <w:tcPr>
            <w:tcW w:w="1247" w:type="dxa"/>
          </w:tcPr>
          <w:p>
            <w:pPr>
              <w:spacing w:after="60"/>
            </w:pPr>
            <w:r/>
            <w:r>
              <w:rPr>
                <w:b w:val="0"/>
                <w:sz w:val="20"/>
              </w:rPr>
              <w:t>C-11</w:t>
            </w:r>
          </w:p>
        </w:tc>
        <w:tc>
          <w:tcPr>
            <w:tcW w:w="1247" w:type="dxa"/>
          </w:tcPr>
          <w:p>
            <w:pPr>
              <w:spacing w:after="60"/>
            </w:pPr>
            <w:r/>
            <w:r>
              <w:rPr>
                <w:b w:val="0"/>
                <w:sz w:val="20"/>
              </w:rPr>
              <w:t>P-29</w:t>
            </w:r>
          </w:p>
        </w:tc>
        <w:tc>
          <w:tcPr>
            <w:tcW w:w="1474" w:type="dxa"/>
          </w:tcPr>
          <w:p>
            <w:pPr>
              <w:spacing w:after="60"/>
            </w:pPr>
            <w:r/>
            <w:r>
              <w:rPr>
                <w:b w:val="0"/>
                <w:sz w:val="20"/>
              </w:rPr>
              <w:t>CED-11</w:t>
            </w:r>
          </w:p>
        </w:tc>
        <w:tc>
          <w:tcPr>
            <w:tcW w:w="5102" w:type="dxa"/>
          </w:tcPr>
          <w:p>
            <w:pPr>
              <w:spacing w:after="60"/>
            </w:pPr>
            <w:r/>
            <w:r>
              <w:rPr>
                <w:b w:val="0"/>
                <w:sz w:val="20"/>
              </w:rPr>
              <w:t>CED e conservação da natureza</w:t>
            </w:r>
          </w:p>
        </w:tc>
      </w:tr>
      <w:tr>
        <w:tc>
          <w:tcPr>
            <w:tcW w:w="1247" w:type="dxa"/>
          </w:tcPr>
          <w:p>
            <w:pPr>
              <w:spacing w:after="60"/>
            </w:pPr>
            <w:r/>
            <w:r>
              <w:rPr>
                <w:b w:val="0"/>
                <w:sz w:val="20"/>
              </w:rPr>
              <w:t>C-12</w:t>
            </w:r>
          </w:p>
        </w:tc>
        <w:tc>
          <w:tcPr>
            <w:tcW w:w="1247" w:type="dxa"/>
          </w:tcPr>
          <w:p>
            <w:pPr>
              <w:spacing w:after="60"/>
            </w:pPr>
            <w:r/>
            <w:r>
              <w:rPr>
                <w:b w:val="0"/>
                <w:sz w:val="20"/>
              </w:rPr>
              <w:t>P-30</w:t>
            </w:r>
          </w:p>
        </w:tc>
        <w:tc>
          <w:tcPr>
            <w:tcW w:w="1474" w:type="dxa"/>
          </w:tcPr>
          <w:p>
            <w:pPr>
              <w:spacing w:after="60"/>
            </w:pPr>
            <w:r/>
            <w:r>
              <w:rPr>
                <w:b w:val="0"/>
                <w:sz w:val="20"/>
              </w:rPr>
              <w:t>CED-12</w:t>
            </w:r>
          </w:p>
        </w:tc>
        <w:tc>
          <w:tcPr>
            <w:tcW w:w="5102" w:type="dxa"/>
          </w:tcPr>
          <w:p>
            <w:pPr>
              <w:spacing w:after="60"/>
            </w:pPr>
            <w:r/>
            <w:r>
              <w:rPr>
                <w:b w:val="0"/>
                <w:sz w:val="20"/>
              </w:rPr>
              <w:t>Gatos de colónia em infração permanente</w:t>
            </w:r>
          </w:p>
        </w:tc>
      </w:tr>
      <w:tr>
        <w:tc>
          <w:tcPr>
            <w:tcW w:w="1247" w:type="dxa"/>
          </w:tcPr>
          <w:p>
            <w:pPr>
              <w:spacing w:after="60"/>
            </w:pPr>
            <w:r/>
            <w:r>
              <w:rPr>
                <w:b w:val="0"/>
                <w:sz w:val="20"/>
              </w:rPr>
              <w:t>C-13</w:t>
            </w:r>
          </w:p>
        </w:tc>
        <w:tc>
          <w:tcPr>
            <w:tcW w:w="1247" w:type="dxa"/>
          </w:tcPr>
          <w:p>
            <w:pPr>
              <w:spacing w:after="60"/>
            </w:pPr>
            <w:r/>
            <w:r>
              <w:rPr>
                <w:b w:val="0"/>
                <w:sz w:val="20"/>
              </w:rPr>
              <w:t>P-31</w:t>
            </w:r>
          </w:p>
        </w:tc>
        <w:tc>
          <w:tcPr>
            <w:tcW w:w="1474" w:type="dxa"/>
          </w:tcPr>
          <w:p>
            <w:pPr>
              <w:spacing w:after="60"/>
            </w:pPr>
            <w:r/>
            <w:r>
              <w:rPr>
                <w:b w:val="0"/>
                <w:sz w:val="20"/>
              </w:rPr>
              <w:t>CED-13</w:t>
            </w:r>
          </w:p>
        </w:tc>
        <w:tc>
          <w:tcPr>
            <w:tcW w:w="5102" w:type="dxa"/>
          </w:tcPr>
          <w:p>
            <w:pPr>
              <w:spacing w:after="60"/>
            </w:pPr>
            <w:r/>
            <w:r>
              <w:rPr>
                <w:b w:val="0"/>
                <w:sz w:val="20"/>
              </w:rPr>
              <w:t>Crias e gatos sociáveis: retirar ou devolver</w:t>
            </w:r>
          </w:p>
        </w:tc>
      </w:tr>
      <w:tr>
        <w:tc>
          <w:tcPr>
            <w:tcW w:w="1247" w:type="dxa"/>
          </w:tcPr>
          <w:p>
            <w:pPr>
              <w:spacing w:after="60"/>
            </w:pPr>
            <w:r/>
            <w:r>
              <w:rPr>
                <w:b w:val="0"/>
                <w:sz w:val="20"/>
              </w:rPr>
              <w:t>C-14</w:t>
            </w:r>
          </w:p>
        </w:tc>
        <w:tc>
          <w:tcPr>
            <w:tcW w:w="1247" w:type="dxa"/>
          </w:tcPr>
          <w:p>
            <w:pPr>
              <w:spacing w:after="60"/>
            </w:pPr>
            <w:r/>
            <w:r>
              <w:rPr>
                <w:b w:val="0"/>
                <w:sz w:val="20"/>
              </w:rPr>
              <w:t>P-32</w:t>
            </w:r>
          </w:p>
        </w:tc>
        <w:tc>
          <w:tcPr>
            <w:tcW w:w="1474" w:type="dxa"/>
          </w:tcPr>
          <w:p>
            <w:pPr>
              <w:spacing w:after="60"/>
            </w:pPr>
            <w:r/>
            <w:r>
              <w:rPr>
                <w:b w:val="0"/>
                <w:sz w:val="20"/>
              </w:rPr>
              <w:t>CED-14</w:t>
            </w:r>
          </w:p>
        </w:tc>
        <w:tc>
          <w:tcPr>
            <w:tcW w:w="5102" w:type="dxa"/>
          </w:tcPr>
          <w:p>
            <w:pPr>
              <w:spacing w:after="60"/>
            </w:pPr>
            <w:r/>
            <w:r>
              <w:rPr>
                <w:b w:val="0"/>
                <w:sz w:val="20"/>
              </w:rPr>
              <w:t>Suspensão do programa e recolha dos gatos sem garantias</w:t>
            </w:r>
          </w:p>
        </w:tc>
      </w:tr>
      <w:tr>
        <w:tc>
          <w:tcPr>
            <w:tcW w:w="1247" w:type="dxa"/>
          </w:tcPr>
          <w:p>
            <w:pPr>
              <w:spacing w:after="60"/>
            </w:pPr>
            <w:r/>
            <w:r>
              <w:rPr>
                <w:b w:val="0"/>
                <w:sz w:val="20"/>
              </w:rPr>
              <w:t>C-15</w:t>
            </w:r>
          </w:p>
        </w:tc>
        <w:tc>
          <w:tcPr>
            <w:tcW w:w="1247" w:type="dxa"/>
          </w:tcPr>
          <w:p>
            <w:pPr>
              <w:spacing w:after="60"/>
            </w:pPr>
            <w:r/>
            <w:r>
              <w:rPr>
                <w:b w:val="0"/>
                <w:sz w:val="20"/>
              </w:rPr>
              <w:t>P-33</w:t>
            </w:r>
          </w:p>
        </w:tc>
        <w:tc>
          <w:tcPr>
            <w:tcW w:w="1474" w:type="dxa"/>
          </w:tcPr>
          <w:p>
            <w:pPr>
              <w:spacing w:after="60"/>
            </w:pPr>
            <w:r/>
            <w:r>
              <w:rPr>
                <w:b w:val="0"/>
                <w:sz w:val="20"/>
              </w:rPr>
              <w:t>CED-15</w:t>
            </w:r>
          </w:p>
        </w:tc>
        <w:tc>
          <w:tcPr>
            <w:tcW w:w="5102" w:type="dxa"/>
          </w:tcPr>
          <w:p>
            <w:pPr>
              <w:spacing w:after="60"/>
            </w:pPr>
            <w:r/>
            <w:r>
              <w:rPr>
                <w:b w:val="0"/>
                <w:sz w:val="20"/>
              </w:rPr>
              <w:t>Meios: médicos veterinários municipais e financiamento</w:t>
            </w:r>
          </w:p>
        </w:tc>
      </w:tr>
      <w:tr>
        <w:tc>
          <w:tcPr>
            <w:tcW w:w="1247" w:type="dxa"/>
          </w:tcPr>
          <w:p>
            <w:pPr>
              <w:spacing w:after="60"/>
            </w:pPr>
            <w:r/>
            <w:r>
              <w:rPr>
                <w:b w:val="0"/>
                <w:sz w:val="20"/>
              </w:rPr>
              <w:t>C-16</w:t>
            </w:r>
          </w:p>
        </w:tc>
        <w:tc>
          <w:tcPr>
            <w:tcW w:w="1247" w:type="dxa"/>
          </w:tcPr>
          <w:p>
            <w:pPr>
              <w:spacing w:after="60"/>
            </w:pPr>
            <w:r/>
            <w:r>
              <w:rPr>
                <w:b w:val="0"/>
                <w:sz w:val="20"/>
              </w:rPr>
              <w:t>P-34</w:t>
            </w:r>
          </w:p>
        </w:tc>
        <w:tc>
          <w:tcPr>
            <w:tcW w:w="1474" w:type="dxa"/>
          </w:tcPr>
          <w:p>
            <w:pPr>
              <w:spacing w:after="60"/>
            </w:pPr>
            <w:r/>
            <w:r>
              <w:rPr>
                <w:b w:val="0"/>
                <w:sz w:val="20"/>
              </w:rPr>
              <w:t>CED-16</w:t>
            </w:r>
          </w:p>
        </w:tc>
        <w:tc>
          <w:tcPr>
            <w:tcW w:w="5102" w:type="dxa"/>
          </w:tcPr>
          <w:p>
            <w:pPr>
              <w:spacing w:after="60"/>
            </w:pPr>
            <w:r/>
            <w:r>
              <w:rPr>
                <w:b w:val="0"/>
                <w:sz w:val="20"/>
              </w:rPr>
              <w:t>Conflito com vizinhos e dimensão da colónia</w:t>
            </w:r>
          </w:p>
        </w:tc>
      </w:tr>
      <w:tr>
        <w:tc>
          <w:tcPr>
            <w:tcW w:w="1247" w:type="dxa"/>
          </w:tcPr>
          <w:p>
            <w:pPr>
              <w:spacing w:after="60"/>
            </w:pPr>
            <w:r/>
            <w:r>
              <w:rPr>
                <w:b w:val="0"/>
                <w:sz w:val="20"/>
              </w:rPr>
              <w:t>C-17</w:t>
            </w:r>
          </w:p>
        </w:tc>
        <w:tc>
          <w:tcPr>
            <w:tcW w:w="1247" w:type="dxa"/>
          </w:tcPr>
          <w:p>
            <w:pPr>
              <w:spacing w:after="60"/>
            </w:pPr>
            <w:r/>
            <w:r>
              <w:rPr>
                <w:b w:val="0"/>
                <w:sz w:val="20"/>
              </w:rPr>
              <w:t>P-35</w:t>
            </w:r>
          </w:p>
        </w:tc>
        <w:tc>
          <w:tcPr>
            <w:tcW w:w="1474" w:type="dxa"/>
          </w:tcPr>
          <w:p>
            <w:pPr>
              <w:spacing w:after="60"/>
            </w:pPr>
            <w:r/>
            <w:r>
              <w:rPr>
                <w:b w:val="0"/>
                <w:sz w:val="20"/>
              </w:rPr>
              <w:t>CED-17</w:t>
            </w:r>
          </w:p>
        </w:tc>
        <w:tc>
          <w:tcPr>
            <w:tcW w:w="5102" w:type="dxa"/>
          </w:tcPr>
          <w:p>
            <w:pPr>
              <w:spacing w:after="60"/>
            </w:pPr>
            <w:r/>
            <w:r>
              <w:rPr>
                <w:b w:val="0"/>
                <w:sz w:val="20"/>
              </w:rPr>
              <w:t>Plano municipal de controlo de errantes sem conteúdo mínimo nem consequências</w:t>
            </w:r>
          </w:p>
        </w:tc>
      </w:tr>
      <w:tr>
        <w:tc>
          <w:tcPr>
            <w:tcW w:w="1247" w:type="dxa"/>
          </w:tcPr>
          <w:p>
            <w:pPr>
              <w:spacing w:after="60"/>
            </w:pPr>
            <w:r/>
            <w:r>
              <w:rPr>
                <w:b w:val="0"/>
                <w:sz w:val="20"/>
              </w:rPr>
              <w:t>T-20</w:t>
            </w:r>
          </w:p>
        </w:tc>
        <w:tc>
          <w:tcPr>
            <w:tcW w:w="1247" w:type="dxa"/>
          </w:tcPr>
          <w:p>
            <w:pPr>
              <w:spacing w:after="60"/>
            </w:pPr>
            <w:r/>
            <w:r>
              <w:rPr>
                <w:b w:val="0"/>
                <w:sz w:val="20"/>
              </w:rPr>
              <w:t>P-37</w:t>
            </w:r>
          </w:p>
        </w:tc>
        <w:tc>
          <w:tcPr>
            <w:tcW w:w="1474" w:type="dxa"/>
          </w:tcPr>
          <w:p>
            <w:pPr>
              <w:spacing w:after="60"/>
            </w:pPr>
            <w:r/>
            <w:r>
              <w:rPr>
                <w:b w:val="0"/>
                <w:sz w:val="20"/>
              </w:rPr>
              <w:t>TIT-20</w:t>
            </w:r>
          </w:p>
        </w:tc>
        <w:tc>
          <w:tcPr>
            <w:tcW w:w="5102" w:type="dxa"/>
          </w:tcPr>
          <w:p>
            <w:pPr>
              <w:spacing w:after="60"/>
            </w:pPr>
            <w:r/>
            <w:r>
              <w:rPr>
                <w:b w:val="0"/>
                <w:sz w:val="20"/>
              </w:rPr>
              <w:t>Quem acolhe um animal errante pode ficar sem saída lícita</w:t>
            </w:r>
          </w:p>
        </w:tc>
      </w:tr>
      <w:tr>
        <w:tc>
          <w:tcPr>
            <w:tcW w:w="1247" w:type="dxa"/>
          </w:tcPr>
          <w:p>
            <w:pPr>
              <w:spacing w:after="60"/>
            </w:pPr>
            <w:r/>
            <w:r>
              <w:rPr>
                <w:b w:val="0"/>
                <w:sz w:val="20"/>
              </w:rPr>
              <w:t>C-18</w:t>
            </w:r>
          </w:p>
        </w:tc>
        <w:tc>
          <w:tcPr>
            <w:tcW w:w="1247" w:type="dxa"/>
          </w:tcPr>
          <w:p>
            <w:pPr>
              <w:spacing w:after="60"/>
            </w:pPr>
            <w:r/>
            <w:r>
              <w:rPr>
                <w:b w:val="0"/>
                <w:sz w:val="20"/>
              </w:rPr>
              <w:t>P-38</w:t>
            </w:r>
          </w:p>
        </w:tc>
        <w:tc>
          <w:tcPr>
            <w:tcW w:w="1474" w:type="dxa"/>
          </w:tcPr>
          <w:p>
            <w:pPr>
              <w:spacing w:after="60"/>
            </w:pPr>
            <w:r/>
            <w:r>
              <w:rPr>
                <w:b w:val="0"/>
                <w:sz w:val="20"/>
              </w:rPr>
              <w:t>CED-18</w:t>
            </w:r>
          </w:p>
        </w:tc>
        <w:tc>
          <w:tcPr>
            <w:tcW w:w="5102" w:type="dxa"/>
          </w:tcPr>
          <w:p>
            <w:pPr>
              <w:spacing w:after="60"/>
            </w:pPr>
            <w:r/>
            <w:r>
              <w:rPr>
                <w:b w:val="0"/>
                <w:sz w:val="20"/>
              </w:rPr>
              <w:t>A definição de animal errante passa a abranger qualquer animal não identificado</w:t>
            </w:r>
          </w:p>
        </w:tc>
      </w:tr>
      <w:tr>
        <w:tc>
          <w:tcPr>
            <w:tcW w:w="1247" w:type="dxa"/>
          </w:tcPr>
          <w:p>
            <w:pPr>
              <w:spacing w:after="60"/>
            </w:pPr>
            <w:r/>
            <w:r>
              <w:rPr>
                <w:b w:val="0"/>
                <w:sz w:val="20"/>
              </w:rPr>
              <w:t>C-19</w:t>
            </w:r>
          </w:p>
        </w:tc>
        <w:tc>
          <w:tcPr>
            <w:tcW w:w="1247" w:type="dxa"/>
          </w:tcPr>
          <w:p>
            <w:pPr>
              <w:spacing w:after="60"/>
            </w:pPr>
            <w:r/>
            <w:r>
              <w:rPr>
                <w:b w:val="0"/>
                <w:sz w:val="20"/>
              </w:rPr>
              <w:t>P-39</w:t>
            </w:r>
          </w:p>
        </w:tc>
        <w:tc>
          <w:tcPr>
            <w:tcW w:w="1474" w:type="dxa"/>
          </w:tcPr>
          <w:p>
            <w:pPr>
              <w:spacing w:after="60"/>
            </w:pPr>
            <w:r/>
            <w:r>
              <w:rPr>
                <w:b w:val="0"/>
                <w:sz w:val="20"/>
              </w:rPr>
              <w:t>CED-19</w:t>
            </w:r>
          </w:p>
        </w:tc>
        <w:tc>
          <w:tcPr>
            <w:tcW w:w="5102" w:type="dxa"/>
          </w:tcPr>
          <w:p>
            <w:pPr>
              <w:spacing w:after="60"/>
            </w:pPr>
            <w:r/>
            <w:r>
              <w:rPr>
                <w:b w:val="0"/>
                <w:sz w:val="20"/>
              </w:rPr>
              <w:t>A Lei 75/2013 ainda atribui às câmaras o abate de canídeos e gatídeos</w:t>
            </w:r>
          </w:p>
        </w:tc>
      </w:tr>
      <w:tr>
        <w:tc>
          <w:tcPr>
            <w:tcW w:w="1247" w:type="dxa"/>
          </w:tcPr>
          <w:p>
            <w:pPr>
              <w:spacing w:after="60"/>
            </w:pPr>
            <w:r/>
            <w:r>
              <w:rPr>
                <w:b w:val="0"/>
                <w:sz w:val="20"/>
              </w:rPr>
              <w:t>P-01</w:t>
            </w:r>
          </w:p>
        </w:tc>
        <w:tc>
          <w:tcPr>
            <w:tcW w:w="1247" w:type="dxa"/>
          </w:tcPr>
          <w:p>
            <w:pPr>
              <w:spacing w:after="60"/>
            </w:pPr>
            <w:r/>
            <w:r>
              <w:rPr>
                <w:b w:val="0"/>
                <w:sz w:val="20"/>
              </w:rPr>
              <w:t>P-40</w:t>
            </w:r>
          </w:p>
        </w:tc>
        <w:tc>
          <w:tcPr>
            <w:tcW w:w="1474" w:type="dxa"/>
          </w:tcPr>
          <w:p>
            <w:pPr>
              <w:spacing w:after="60"/>
            </w:pPr>
            <w:r/>
            <w:r>
              <w:rPr>
                <w:b w:val="0"/>
                <w:sz w:val="20"/>
              </w:rPr>
              <w:t>BEM-01</w:t>
            </w:r>
          </w:p>
        </w:tc>
        <w:tc>
          <w:tcPr>
            <w:tcW w:w="5102" w:type="dxa"/>
          </w:tcPr>
          <w:p>
            <w:pPr>
              <w:spacing w:after="60"/>
            </w:pPr>
            <w:r/>
            <w:r>
              <w:rPr>
                <w:b w:val="0"/>
                <w:sz w:val="20"/>
              </w:rPr>
              <w:t>A amarração no domicílio fica sem duração máxima nem requisitos verificáveis</w:t>
            </w:r>
          </w:p>
        </w:tc>
      </w:tr>
      <w:tr>
        <w:tc>
          <w:tcPr>
            <w:tcW w:w="1247" w:type="dxa"/>
          </w:tcPr>
          <w:p>
            <w:pPr>
              <w:spacing w:after="60"/>
            </w:pPr>
            <w:r/>
            <w:r>
              <w:rPr>
                <w:b w:val="0"/>
                <w:sz w:val="20"/>
              </w:rPr>
              <w:t>A-01</w:t>
            </w:r>
          </w:p>
        </w:tc>
        <w:tc>
          <w:tcPr>
            <w:tcW w:w="1247" w:type="dxa"/>
          </w:tcPr>
          <w:p>
            <w:pPr>
              <w:spacing w:after="60"/>
            </w:pPr>
            <w:r/>
            <w:r>
              <w:rPr>
                <w:b w:val="0"/>
                <w:sz w:val="20"/>
              </w:rPr>
              <w:t>P-41</w:t>
            </w:r>
          </w:p>
        </w:tc>
        <w:tc>
          <w:tcPr>
            <w:tcW w:w="1474" w:type="dxa"/>
          </w:tcPr>
          <w:p>
            <w:pPr>
              <w:spacing w:after="60"/>
            </w:pPr>
            <w:r/>
            <w:r>
              <w:rPr>
                <w:b w:val="0"/>
                <w:sz w:val="20"/>
              </w:rPr>
              <w:t>REG-01</w:t>
            </w:r>
          </w:p>
        </w:tc>
        <w:tc>
          <w:tcPr>
            <w:tcW w:w="5102" w:type="dxa"/>
          </w:tcPr>
          <w:p>
            <w:pPr>
              <w:spacing w:after="60"/>
            </w:pPr>
            <w:r/>
            <w:r>
              <w:rPr>
                <w:b w:val="0"/>
                <w:sz w:val="20"/>
              </w:rPr>
              <w:t>Duas normas diferentes sobre que espécies são animais de companhia</w:t>
            </w:r>
          </w:p>
        </w:tc>
      </w:tr>
      <w:tr>
        <w:tc>
          <w:tcPr>
            <w:tcW w:w="1247" w:type="dxa"/>
          </w:tcPr>
          <w:p>
            <w:pPr>
              <w:spacing w:after="60"/>
            </w:pPr>
            <w:r/>
            <w:r>
              <w:rPr>
                <w:b w:val="0"/>
                <w:sz w:val="20"/>
              </w:rPr>
              <w:t>S-01</w:t>
            </w:r>
          </w:p>
        </w:tc>
        <w:tc>
          <w:tcPr>
            <w:tcW w:w="1247" w:type="dxa"/>
          </w:tcPr>
          <w:p>
            <w:pPr>
              <w:spacing w:after="60"/>
            </w:pPr>
            <w:r/>
            <w:r>
              <w:rPr>
                <w:b w:val="0"/>
                <w:sz w:val="20"/>
              </w:rPr>
              <w:t>P-42</w:t>
            </w:r>
          </w:p>
        </w:tc>
        <w:tc>
          <w:tcPr>
            <w:tcW w:w="1474" w:type="dxa"/>
          </w:tcPr>
          <w:p>
            <w:pPr>
              <w:spacing w:after="60"/>
            </w:pPr>
            <w:r/>
            <w:r>
              <w:rPr>
                <w:b w:val="0"/>
                <w:sz w:val="20"/>
              </w:rPr>
              <w:t>SAN-01</w:t>
            </w:r>
          </w:p>
        </w:tc>
        <w:tc>
          <w:tcPr>
            <w:tcW w:w="5102" w:type="dxa"/>
          </w:tcPr>
          <w:p>
            <w:pPr>
              <w:spacing w:after="60"/>
            </w:pPr>
            <w:r/>
            <w:r>
              <w:rPr>
                <w:b w:val="0"/>
                <w:sz w:val="20"/>
              </w:rPr>
              <w:t>Os deveres dos CRO e o relatório anual ficam sem coima</w:t>
            </w:r>
          </w:p>
        </w:tc>
      </w:tr>
      <w:tr>
        <w:tc>
          <w:tcPr>
            <w:tcW w:w="1247" w:type="dxa"/>
          </w:tcPr>
          <w:p>
            <w:pPr>
              <w:spacing w:after="60"/>
            </w:pPr>
            <w:r/>
            <w:r>
              <w:rPr>
                <w:b w:val="0"/>
                <w:sz w:val="20"/>
              </w:rPr>
              <w:t>F-01</w:t>
            </w:r>
          </w:p>
        </w:tc>
        <w:tc>
          <w:tcPr>
            <w:tcW w:w="1247" w:type="dxa"/>
          </w:tcPr>
          <w:p>
            <w:pPr>
              <w:spacing w:after="60"/>
            </w:pPr>
            <w:r/>
            <w:r>
              <w:rPr>
                <w:b w:val="0"/>
                <w:sz w:val="20"/>
              </w:rPr>
              <w:t>P-43</w:t>
            </w:r>
          </w:p>
        </w:tc>
        <w:tc>
          <w:tcPr>
            <w:tcW w:w="1474" w:type="dxa"/>
          </w:tcPr>
          <w:p>
            <w:pPr>
              <w:spacing w:after="60"/>
            </w:pPr>
            <w:r/>
            <w:r>
              <w:rPr>
                <w:b w:val="0"/>
                <w:sz w:val="20"/>
              </w:rPr>
              <w:t>FIN-01</w:t>
            </w:r>
          </w:p>
        </w:tc>
        <w:tc>
          <w:tcPr>
            <w:tcW w:w="5102" w:type="dxa"/>
          </w:tcPr>
          <w:p>
            <w:pPr>
              <w:spacing w:after="60"/>
            </w:pPr>
            <w:r/>
            <w:r>
              <w:rPr>
                <w:b w:val="0"/>
                <w:sz w:val="20"/>
              </w:rPr>
              <w:t>A revogação total da Lei 92/95 apaga normas que não tratam de animais de companhia</w:t>
            </w:r>
          </w:p>
        </w:tc>
      </w:tr>
      <w:tr>
        <w:tc>
          <w:tcPr>
            <w:tcW w:w="1247" w:type="dxa"/>
          </w:tcPr>
          <w:p>
            <w:pPr>
              <w:spacing w:after="60"/>
            </w:pPr>
            <w:r/>
            <w:r>
              <w:rPr>
                <w:b w:val="0"/>
                <w:sz w:val="20"/>
              </w:rPr>
              <w:t>F-02</w:t>
            </w:r>
          </w:p>
        </w:tc>
        <w:tc>
          <w:tcPr>
            <w:tcW w:w="1247" w:type="dxa"/>
          </w:tcPr>
          <w:p>
            <w:pPr>
              <w:spacing w:after="60"/>
            </w:pPr>
            <w:r/>
            <w:r>
              <w:rPr>
                <w:b w:val="0"/>
                <w:sz w:val="20"/>
              </w:rPr>
              <w:t>P-44</w:t>
            </w:r>
          </w:p>
        </w:tc>
        <w:tc>
          <w:tcPr>
            <w:tcW w:w="1474" w:type="dxa"/>
          </w:tcPr>
          <w:p>
            <w:pPr>
              <w:spacing w:after="60"/>
            </w:pPr>
            <w:r/>
            <w:r>
              <w:rPr>
                <w:b w:val="0"/>
                <w:sz w:val="20"/>
              </w:rPr>
              <w:t>FIN-02</w:t>
            </w:r>
          </w:p>
        </w:tc>
        <w:tc>
          <w:tcPr>
            <w:tcW w:w="5102" w:type="dxa"/>
          </w:tcPr>
          <w:p>
            <w:pPr>
              <w:spacing w:after="60"/>
            </w:pPr>
            <w:r/>
            <w:r>
              <w:rPr>
                <w:b w:val="0"/>
                <w:sz w:val="20"/>
              </w:rPr>
              <w:t>O DL 74/2007 é ressalvado e revogado ao mesmo tempo</w:t>
            </w:r>
          </w:p>
        </w:tc>
      </w:tr>
      <w:tr>
        <w:tc>
          <w:tcPr>
            <w:tcW w:w="1247" w:type="dxa"/>
          </w:tcPr>
          <w:p>
            <w:pPr>
              <w:spacing w:after="60"/>
            </w:pPr>
            <w:r/>
            <w:r>
              <w:rPr>
                <w:b w:val="0"/>
                <w:sz w:val="20"/>
              </w:rPr>
              <w:t>G-01</w:t>
            </w:r>
          </w:p>
        </w:tc>
        <w:tc>
          <w:tcPr>
            <w:tcW w:w="1247" w:type="dxa"/>
          </w:tcPr>
          <w:p>
            <w:pPr>
              <w:spacing w:after="60"/>
            </w:pPr>
            <w:r/>
            <w:r>
              <w:rPr>
                <w:b w:val="0"/>
                <w:sz w:val="20"/>
              </w:rPr>
              <w:t>P-45</w:t>
            </w:r>
          </w:p>
        </w:tc>
        <w:tc>
          <w:tcPr>
            <w:tcW w:w="1474" w:type="dxa"/>
          </w:tcPr>
          <w:p>
            <w:pPr>
              <w:spacing w:after="60"/>
            </w:pPr>
            <w:r/>
            <w:r>
              <w:rPr>
                <w:b w:val="0"/>
                <w:sz w:val="20"/>
              </w:rPr>
              <w:t>SAN-02</w:t>
            </w:r>
          </w:p>
        </w:tc>
        <w:tc>
          <w:tcPr>
            <w:tcW w:w="5102" w:type="dxa"/>
          </w:tcPr>
          <w:p>
            <w:pPr>
              <w:spacing w:after="60"/>
            </w:pPr>
            <w:r/>
            <w:r>
              <w:rPr>
                <w:b w:val="0"/>
                <w:sz w:val="20"/>
              </w:rPr>
              <w:t>A recolha por razões de bem-estar passa da DGAV para as câmaras e o destino para o médico veterinário municipal</w:t>
            </w:r>
          </w:p>
        </w:tc>
      </w:tr>
      <w:tr>
        <w:tc>
          <w:tcPr>
            <w:tcW w:w="1247" w:type="dxa"/>
          </w:tcPr>
          <w:p>
            <w:pPr>
              <w:spacing w:after="60"/>
            </w:pPr>
            <w:r/>
            <w:r>
              <w:rPr>
                <w:b w:val="0"/>
                <w:sz w:val="20"/>
              </w:rPr>
              <w:t>G-02</w:t>
            </w:r>
          </w:p>
        </w:tc>
        <w:tc>
          <w:tcPr>
            <w:tcW w:w="1247" w:type="dxa"/>
          </w:tcPr>
          <w:p>
            <w:pPr>
              <w:spacing w:after="60"/>
            </w:pPr>
            <w:r/>
            <w:r>
              <w:rPr>
                <w:b w:val="0"/>
                <w:sz w:val="20"/>
              </w:rPr>
              <w:t>P-46</w:t>
            </w:r>
          </w:p>
        </w:tc>
        <w:tc>
          <w:tcPr>
            <w:tcW w:w="1474" w:type="dxa"/>
          </w:tcPr>
          <w:p>
            <w:pPr>
              <w:spacing w:after="60"/>
            </w:pPr>
            <w:r/>
            <w:r>
              <w:rPr>
                <w:b w:val="0"/>
                <w:sz w:val="20"/>
              </w:rPr>
              <w:t>TIT-21</w:t>
            </w:r>
          </w:p>
        </w:tc>
        <w:tc>
          <w:tcPr>
            <w:tcW w:w="5102" w:type="dxa"/>
          </w:tcPr>
          <w:p>
            <w:pPr>
              <w:spacing w:after="60"/>
            </w:pPr>
            <w:r/>
            <w:r>
              <w:rPr>
                <w:b w:val="0"/>
                <w:sz w:val="20"/>
              </w:rPr>
              <w:t>A presunção de abandono aos 15 dias não ressalva animais apreendidos nem animais socorridos em emergência</w:t>
            </w:r>
          </w:p>
        </w:tc>
      </w:tr>
      <w:tr>
        <w:tc>
          <w:tcPr>
            <w:tcW w:w="1247" w:type="dxa"/>
          </w:tcPr>
          <w:p>
            <w:pPr>
              <w:spacing w:after="60"/>
            </w:pPr>
            <w:r/>
            <w:r>
              <w:rPr>
                <w:b w:val="0"/>
                <w:sz w:val="20"/>
              </w:rPr>
              <w:t>S-02</w:t>
            </w:r>
          </w:p>
        </w:tc>
        <w:tc>
          <w:tcPr>
            <w:tcW w:w="1247" w:type="dxa"/>
          </w:tcPr>
          <w:p>
            <w:pPr>
              <w:spacing w:after="60"/>
            </w:pPr>
            <w:r/>
            <w:r>
              <w:rPr>
                <w:b w:val="0"/>
                <w:sz w:val="20"/>
              </w:rPr>
              <w:t>P-47</w:t>
            </w:r>
          </w:p>
        </w:tc>
        <w:tc>
          <w:tcPr>
            <w:tcW w:w="1474" w:type="dxa"/>
          </w:tcPr>
          <w:p>
            <w:pPr>
              <w:spacing w:after="60"/>
            </w:pPr>
            <w:r/>
            <w:r>
              <w:rPr>
                <w:b w:val="0"/>
                <w:sz w:val="20"/>
              </w:rPr>
              <w:t>SAN-03</w:t>
            </w:r>
          </w:p>
        </w:tc>
        <w:tc>
          <w:tcPr>
            <w:tcW w:w="5102" w:type="dxa"/>
          </w:tcPr>
          <w:p>
            <w:pPr>
              <w:spacing w:after="60"/>
            </w:pPr>
            <w:r/>
            <w:r>
              <w:rPr>
                <w:b w:val="0"/>
                <w:sz w:val="20"/>
              </w:rPr>
              <w:t>A apreensão provisória serve só as contraordenações e admite devolver os animais ao local de origem</w:t>
            </w:r>
          </w:p>
        </w:tc>
      </w:tr>
      <w:tr>
        <w:tc>
          <w:tcPr>
            <w:tcW w:w="1247" w:type="dxa"/>
          </w:tcPr>
          <w:p>
            <w:pPr>
              <w:spacing w:after="60"/>
            </w:pPr>
            <w:r/>
            <w:r>
              <w:rPr>
                <w:b w:val="0"/>
                <w:sz w:val="20"/>
              </w:rPr>
              <w:t>E-01</w:t>
            </w:r>
          </w:p>
        </w:tc>
        <w:tc>
          <w:tcPr>
            <w:tcW w:w="1247" w:type="dxa"/>
          </w:tcPr>
          <w:p>
            <w:pPr>
              <w:spacing w:after="60"/>
            </w:pPr>
            <w:r/>
            <w:r>
              <w:rPr>
                <w:b w:val="0"/>
                <w:sz w:val="20"/>
              </w:rPr>
              <w:t>P-48</w:t>
            </w:r>
          </w:p>
        </w:tc>
        <w:tc>
          <w:tcPr>
            <w:tcW w:w="1474" w:type="dxa"/>
          </w:tcPr>
          <w:p>
            <w:pPr>
              <w:spacing w:after="60"/>
            </w:pPr>
            <w:r/>
            <w:r>
              <w:rPr>
                <w:b w:val="0"/>
                <w:sz w:val="20"/>
              </w:rPr>
              <w:t>BEM-02</w:t>
            </w:r>
          </w:p>
        </w:tc>
        <w:tc>
          <w:tcPr>
            <w:tcW w:w="5102" w:type="dxa"/>
          </w:tcPr>
          <w:p>
            <w:pPr>
              <w:spacing w:after="60"/>
            </w:pPr>
            <w:r/>
            <w:r>
              <w:rPr>
                <w:b w:val="0"/>
                <w:sz w:val="20"/>
              </w:rPr>
              <w:t>Nada sobre animais de companhia em acidente grave ou catástrofe</w:t>
            </w:r>
          </w:p>
        </w:tc>
      </w:tr>
      <w:tr>
        <w:tc>
          <w:tcPr>
            <w:tcW w:w="1247" w:type="dxa"/>
          </w:tcPr>
          <w:p>
            <w:pPr>
              <w:spacing w:after="60"/>
            </w:pPr>
            <w:r/>
            <w:r>
              <w:rPr>
                <w:b w:val="0"/>
                <w:sz w:val="20"/>
              </w:rPr>
              <w:t>D-01</w:t>
            </w:r>
          </w:p>
        </w:tc>
        <w:tc>
          <w:tcPr>
            <w:tcW w:w="1247" w:type="dxa"/>
          </w:tcPr>
          <w:p>
            <w:pPr>
              <w:spacing w:after="60"/>
            </w:pPr>
            <w:r/>
            <w:r>
              <w:rPr>
                <w:b w:val="0"/>
                <w:sz w:val="20"/>
              </w:rPr>
              <w:t>P-49</w:t>
            </w:r>
          </w:p>
        </w:tc>
        <w:tc>
          <w:tcPr>
            <w:tcW w:w="1474" w:type="dxa"/>
          </w:tcPr>
          <w:p>
            <w:pPr>
              <w:spacing w:after="60"/>
            </w:pPr>
            <w:r/>
            <w:r>
              <w:rPr>
                <w:b w:val="0"/>
                <w:sz w:val="20"/>
              </w:rPr>
              <w:t>PER-01</w:t>
            </w:r>
          </w:p>
        </w:tc>
        <w:tc>
          <w:tcPr>
            <w:tcW w:w="5102" w:type="dxa"/>
          </w:tcPr>
          <w:p>
            <w:pPr>
              <w:spacing w:after="60"/>
            </w:pPr>
            <w:r/>
            <w:r>
              <w:rPr>
                <w:b w:val="0"/>
                <w:sz w:val="20"/>
              </w:rPr>
              <w:t>Duas vias para retirar a classificação de perigoso, sem ligação entre elas</w:t>
            </w:r>
          </w:p>
        </w:tc>
      </w:tr>
      <w:tr>
        <w:tc>
          <w:tcPr>
            <w:tcW w:w="1247" w:type="dxa"/>
          </w:tcPr>
          <w:p>
            <w:pPr>
              <w:spacing w:after="60"/>
            </w:pPr>
            <w:r/>
            <w:r>
              <w:rPr>
                <w:b w:val="0"/>
                <w:sz w:val="20"/>
              </w:rPr>
              <w:t>D-02</w:t>
            </w:r>
          </w:p>
        </w:tc>
        <w:tc>
          <w:tcPr>
            <w:tcW w:w="1247" w:type="dxa"/>
          </w:tcPr>
          <w:p>
            <w:pPr>
              <w:spacing w:after="60"/>
            </w:pPr>
            <w:r/>
            <w:r>
              <w:rPr>
                <w:b w:val="0"/>
                <w:sz w:val="20"/>
              </w:rPr>
              <w:t>P-53</w:t>
            </w:r>
          </w:p>
        </w:tc>
        <w:tc>
          <w:tcPr>
            <w:tcW w:w="1474" w:type="dxa"/>
          </w:tcPr>
          <w:p>
            <w:pPr>
              <w:spacing w:after="60"/>
            </w:pPr>
            <w:r/>
            <w:r>
              <w:rPr>
                <w:b w:val="0"/>
                <w:sz w:val="20"/>
              </w:rPr>
              <w:t>PER-02</w:t>
            </w:r>
          </w:p>
        </w:tc>
        <w:tc>
          <w:tcPr>
            <w:tcW w:w="5102" w:type="dxa"/>
          </w:tcPr>
          <w:p>
            <w:pPr>
              <w:spacing w:after="60"/>
            </w:pPr>
            <w:r/>
            <w:r>
              <w:rPr>
                <w:b w:val="0"/>
                <w:sz w:val="20"/>
              </w:rPr>
              <w:t>Associação titular de cão perigoso: falta a regra da licença e a adoção fica entre duas normas contrárias</w:t>
            </w:r>
          </w:p>
        </w:tc>
      </w:tr>
      <w:tr>
        <w:tc>
          <w:tcPr>
            <w:tcW w:w="1247" w:type="dxa"/>
          </w:tcPr>
          <w:p>
            <w:pPr>
              <w:spacing w:after="60"/>
            </w:pPr>
            <w:r/>
            <w:r>
              <w:rPr>
                <w:b w:val="0"/>
                <w:sz w:val="20"/>
              </w:rPr>
              <w:t>E-02</w:t>
            </w:r>
          </w:p>
        </w:tc>
        <w:tc>
          <w:tcPr>
            <w:tcW w:w="1247" w:type="dxa"/>
          </w:tcPr>
          <w:p>
            <w:pPr>
              <w:spacing w:after="60"/>
            </w:pPr>
            <w:r/>
            <w:r>
              <w:rPr>
                <w:b w:val="0"/>
                <w:sz w:val="20"/>
              </w:rPr>
              <w:t>P-50</w:t>
            </w:r>
          </w:p>
        </w:tc>
        <w:tc>
          <w:tcPr>
            <w:tcW w:w="1474" w:type="dxa"/>
          </w:tcPr>
          <w:p>
            <w:pPr>
              <w:spacing w:after="60"/>
            </w:pPr>
            <w:r/>
            <w:r>
              <w:rPr>
                <w:b w:val="0"/>
                <w:sz w:val="20"/>
              </w:rPr>
              <w:t>EST-01</w:t>
            </w:r>
          </w:p>
        </w:tc>
        <w:tc>
          <w:tcPr>
            <w:tcW w:w="5102" w:type="dxa"/>
          </w:tcPr>
          <w:p>
            <w:pPr>
              <w:spacing w:after="60"/>
            </w:pPr>
            <w:r/>
            <w:r>
              <w:rPr>
                <w:b w:val="0"/>
                <w:sz w:val="20"/>
              </w:rPr>
              <w:t>O encerramento de estabelecimentos fica sem medida cautelar, sem regra para os animais e sem efeito no registo</w:t>
            </w:r>
          </w:p>
        </w:tc>
      </w:tr>
      <w:tr>
        <w:tc>
          <w:tcPr>
            <w:tcW w:w="1247" w:type="dxa"/>
          </w:tcPr>
          <w:p>
            <w:pPr>
              <w:spacing w:after="60"/>
            </w:pPr>
            <w:r/>
            <w:r>
              <w:rPr>
                <w:b w:val="0"/>
                <w:sz w:val="20"/>
              </w:rPr>
              <w:t>S-03</w:t>
            </w:r>
          </w:p>
        </w:tc>
        <w:tc>
          <w:tcPr>
            <w:tcW w:w="1247" w:type="dxa"/>
          </w:tcPr>
          <w:p>
            <w:pPr>
              <w:spacing w:after="60"/>
            </w:pPr>
            <w:r/>
            <w:r>
              <w:rPr>
                <w:b w:val="0"/>
                <w:sz w:val="20"/>
              </w:rPr>
              <w:t>P-51</w:t>
            </w:r>
          </w:p>
        </w:tc>
        <w:tc>
          <w:tcPr>
            <w:tcW w:w="1474" w:type="dxa"/>
          </w:tcPr>
          <w:p>
            <w:pPr>
              <w:spacing w:after="60"/>
            </w:pPr>
            <w:r/>
            <w:r>
              <w:rPr>
                <w:b w:val="0"/>
                <w:sz w:val="20"/>
              </w:rPr>
              <w:t>SAN-04</w:t>
            </w:r>
          </w:p>
        </w:tc>
        <w:tc>
          <w:tcPr>
            <w:tcW w:w="5102" w:type="dxa"/>
          </w:tcPr>
          <w:p>
            <w:pPr>
              <w:spacing w:after="60"/>
            </w:pPr>
            <w:r/>
            <w:r>
              <w:rPr>
                <w:b w:val="0"/>
                <w:sz w:val="20"/>
              </w:rPr>
              <w:t>As sanções acessórias perdem a interdição do exercício da atividade</w:t>
            </w:r>
          </w:p>
        </w:tc>
      </w:tr>
      <w:tr>
        <w:tc>
          <w:tcPr>
            <w:tcW w:w="1247" w:type="dxa"/>
          </w:tcPr>
          <w:p>
            <w:pPr>
              <w:spacing w:after="60"/>
            </w:pPr>
            <w:r/>
            <w:r>
              <w:rPr>
                <w:b w:val="0"/>
                <w:sz w:val="20"/>
              </w:rPr>
              <w:t>S-04</w:t>
            </w:r>
          </w:p>
        </w:tc>
        <w:tc>
          <w:tcPr>
            <w:tcW w:w="1247" w:type="dxa"/>
          </w:tcPr>
          <w:p>
            <w:pPr>
              <w:spacing w:after="60"/>
            </w:pPr>
            <w:r/>
            <w:r>
              <w:rPr>
                <w:b w:val="0"/>
                <w:sz w:val="20"/>
              </w:rPr>
              <w:t>P-52</w:t>
            </w:r>
          </w:p>
        </w:tc>
        <w:tc>
          <w:tcPr>
            <w:tcW w:w="1474" w:type="dxa"/>
          </w:tcPr>
          <w:p>
            <w:pPr>
              <w:spacing w:after="60"/>
            </w:pPr>
            <w:r/>
            <w:r>
              <w:rPr>
                <w:b w:val="0"/>
                <w:sz w:val="20"/>
              </w:rPr>
              <w:t>SAN-05</w:t>
            </w:r>
          </w:p>
        </w:tc>
        <w:tc>
          <w:tcPr>
            <w:tcW w:w="5102" w:type="dxa"/>
          </w:tcPr>
          <w:p>
            <w:pPr>
              <w:spacing w:after="60"/>
            </w:pPr>
            <w:r/>
            <w:r>
              <w:rPr>
                <w:b w:val="0"/>
                <w:sz w:val="20"/>
              </w:rPr>
              <w:t>O dever geral de colaboração de terceiros e a coima por recusa de informações não passam para o RGAC</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1.27</w:t>
            </w:r>
          </w:p>
        </w:tc>
        <w:tc>
          <w:tcPr>
            <w:tcW w:w="1417" w:type="dxa"/>
          </w:tcPr>
          <w:p>
            <w:pPr>
              <w:spacing w:after="60"/>
            </w:pPr>
            <w:r/>
            <w:r>
              <w:rPr>
                <w:b w:val="0"/>
                <w:sz w:val="20"/>
              </w:rPr>
              <w:t>21.10.2026</w:t>
            </w:r>
          </w:p>
        </w:tc>
        <w:tc>
          <w:tcPr>
            <w:tcW w:w="6406" w:type="dxa"/>
          </w:tcPr>
          <w:p>
            <w:pPr>
              <w:spacing w:after="60"/>
            </w:pPr>
            <w:r/>
            <w:r>
              <w:rPr>
                <w:b w:val="0"/>
                <w:sz w:val="20"/>
              </w:rPr>
              <w:t>Ficha E-02 corrigida: o destino dos animais recolhidos na execução de um encerramento segue, por arrastamento, o regime do CRO (DL 276/2001, art. 19.º; DL 314/2003, art. 9.º; Lei 27/2016, art. 3.º; DL 82/2019, art. 11.º); o que falta é a remissão expressa, a capacidade do CRO, os encargos e a ressalva dos animais apreendidos. Origem: observação do utilizador.</w:t>
            </w:r>
          </w:p>
        </w:tc>
      </w:tr>
      <w:tr>
        <w:tc>
          <w:tcPr>
            <w:tcW w:w="1247" w:type="dxa"/>
          </w:tcPr>
          <w:p>
            <w:pPr>
              <w:spacing w:after="60"/>
            </w:pPr>
            <w:r/>
            <w:r>
              <w:rPr>
                <w:b w:val="0"/>
                <w:sz w:val="20"/>
              </w:rPr>
              <w:t>1.28</w:t>
            </w:r>
          </w:p>
        </w:tc>
        <w:tc>
          <w:tcPr>
            <w:tcW w:w="1417" w:type="dxa"/>
          </w:tcPr>
          <w:p>
            <w:pPr>
              <w:spacing w:after="60"/>
            </w:pPr>
            <w:r/>
            <w:r>
              <w:rPr>
                <w:b w:val="0"/>
                <w:sz w:val="20"/>
              </w:rPr>
              <w:t>22.10.2026</w:t>
            </w:r>
          </w:p>
        </w:tc>
        <w:tc>
          <w:tcPr>
            <w:tcW w:w="6406" w:type="dxa"/>
          </w:tcPr>
          <w:p>
            <w:pPr>
              <w:spacing w:after="60"/>
            </w:pPr>
            <w:r/>
            <w:r>
              <w:rPr>
                <w:b w:val="0"/>
                <w:sz w:val="20"/>
              </w:rPr>
              <w:t>Ficha nova S-04 (o dever geral de colaboração de terceiros e a coima por recusa de informações não passam para o RGAC). Hoje o DL 276/2001, art. 67.º, n.º 3, obriga as pessoas singulares e coletivas a colaborar nas inspeções e ações de controlo, e o art. 68.º, n.º 1, al. d), pune a recusa de dados e a informação falsa; o RGAC só obriga o titular da exploração (art. 54.º) e só pune a oposição a medidas (art. 140.º, n.º 2, segunda al. i)). Lapso novo L-21 (art. 137.º: «ponha esteja em risco» e remissão para um pedido de colaboração que o n.º 1 não contém). Origem: denúncia de criação comercial sem comunicação prévia e pedido de esclarecimento à entidade que gere o livro de origens. Fontes novas: Código do Procedimento Administrativo, Lei 36/2021 e Regulamento (UE) 2016/679.</w:t>
            </w:r>
          </w:p>
        </w:tc>
      </w:tr>
      <w:tr>
        <w:tc>
          <w:tcPr>
            <w:tcW w:w="1247" w:type="dxa"/>
          </w:tcPr>
          <w:p>
            <w:pPr>
              <w:spacing w:after="60"/>
            </w:pPr>
            <w:r/>
            <w:r>
              <w:rPr>
                <w:b w:val="0"/>
                <w:sz w:val="20"/>
              </w:rPr>
              <w:t>1.29</w:t>
            </w:r>
          </w:p>
        </w:tc>
        <w:tc>
          <w:tcPr>
            <w:tcW w:w="1417" w:type="dxa"/>
          </w:tcPr>
          <w:p>
            <w:pPr>
              <w:spacing w:after="60"/>
            </w:pPr>
            <w:r/>
            <w:r>
              <w:rPr>
                <w:b w:val="0"/>
                <w:sz w:val="20"/>
              </w:rPr>
              <w:t>22.10.2026</w:t>
            </w:r>
          </w:p>
        </w:tc>
        <w:tc>
          <w:tcPr>
            <w:tcW w:w="6406" w:type="dxa"/>
          </w:tcPr>
          <w:p>
            <w:pPr>
              <w:spacing w:after="60"/>
            </w:pPr>
            <w:r/>
            <w:r>
              <w:rPr>
                <w:b w:val="0"/>
                <w:sz w:val="20"/>
              </w:rPr>
              <w:t>Ficha S-04 corrigida e completada: o art. 109.º, n.º 2, já obriga a entidade gestora do LOP a dar à DGAV as informações solicitadas para controlo oficial, e o n.º 3 impõe relatório anual, sem coima; a lacuna fica para os restantes terceiros e para a sanção. Acrescentado o enquadramento atual do LOP: gerido pelo Clube Português de Canicultura com base no despacho ministerial de 29.3.1939 citado no seu regulamento, pressuposto pelo DL 276/2001 e pelo DL 315/2009, tratado pela DGAV como atividade delegada (Despacho n.º 15262/2012, Gabinete de Recursos Genéticos Animais) e fora do regime zootécnico do DL 59/2022. Fontes novas: DL 59/2022, Despacho n.º 15262/2012, regulamento do LOP e página das raças autóctones da DGAV.</w:t>
            </w:r>
          </w:p>
        </w:tc>
      </w:tr>
      <w:tr>
        <w:tc>
          <w:tcPr>
            <w:tcW w:w="1247" w:type="dxa"/>
          </w:tcPr>
          <w:p>
            <w:pPr>
              <w:spacing w:after="60"/>
            </w:pPr>
            <w:r/>
            <w:r>
              <w:rPr>
                <w:b w:val="0"/>
                <w:sz w:val="20"/>
              </w:rPr>
              <w:t>1.30</w:t>
            </w:r>
          </w:p>
        </w:tc>
        <w:tc>
          <w:tcPr>
            <w:tcW w:w="1417" w:type="dxa"/>
          </w:tcPr>
          <w:p>
            <w:pPr>
              <w:spacing w:after="60"/>
            </w:pPr>
            <w:r/>
            <w:r>
              <w:rPr>
                <w:b w:val="0"/>
                <w:sz w:val="20"/>
              </w:rPr>
              <w:t>22.10.2026</w:t>
            </w:r>
          </w:p>
        </w:tc>
        <w:tc>
          <w:tcPr>
            <w:tcW w:w="6406" w:type="dxa"/>
          </w:tcPr>
          <w:p>
            <w:pPr>
              <w:spacing w:after="60"/>
            </w:pPr>
            <w:r/>
            <w:r>
              <w:rPr>
                <w:b w:val="0"/>
                <w:sz w:val="20"/>
              </w:rPr>
              <w:t>Ficha S-04: a orgânica da DGAV (Decreto Regulamentar n.º 31/2012, art. 2.º, n.º 2, al. p), na redação do Decreto Regulamentar n.º 4/2025) manda superintender a gestão dos livros genealógicos das associações de criadores reconhecidas para todas as espécies, e as als. jj) e mm) dão à DGAV a política e o cumprimento das regras de criação e comércio de animais de companhia. Fonte nova: Decreto Regulamentar n.º 4/2025.</w:t>
            </w:r>
          </w:p>
        </w:tc>
      </w:tr>
      <w:tr>
        <w:tc>
          <w:tcPr>
            <w:tcW w:w="1247" w:type="dxa"/>
          </w:tcPr>
          <w:p>
            <w:pPr>
              <w:spacing w:after="60"/>
            </w:pPr>
            <w:r/>
            <w:r>
              <w:rPr>
                <w:b w:val="0"/>
                <w:sz w:val="20"/>
              </w:rPr>
              <w:t>1.31</w:t>
            </w:r>
          </w:p>
        </w:tc>
        <w:tc>
          <w:tcPr>
            <w:tcW w:w="1417" w:type="dxa"/>
          </w:tcPr>
          <w:p>
            <w:pPr>
              <w:spacing w:after="60"/>
            </w:pPr>
            <w:r/>
            <w:r>
              <w:rPr>
                <w:b w:val="0"/>
                <w:sz w:val="20"/>
              </w:rPr>
              <w:t>22.10.2026</w:t>
            </w:r>
          </w:p>
        </w:tc>
        <w:tc>
          <w:tcPr>
            <w:tcW w:w="6406" w:type="dxa"/>
          </w:tcPr>
          <w:p>
            <w:pPr>
              <w:spacing w:after="60"/>
            </w:pPr>
            <w:r/>
            <w:r>
              <w:rPr>
                <w:b w:val="0"/>
                <w:sz w:val="20"/>
              </w:rPr>
              <w:t>Ficha D-01 completada: a «prova em contrário» do art. 120.º, n.º 5 não pode ser só uma avaliação de comportamento, porque nas als. a) e b) do n.º 1 a classificação resulta de um facto. Proposta (ii) ajustada. Origem: pedido de um MVM para retirar a classificação de um cão sem prova de que tenha sido o agressor.</w:t>
            </w:r>
          </w:p>
        </w:tc>
      </w:tr>
      <w:tr>
        <w:tc>
          <w:tcPr>
            <w:tcW w:w="1247" w:type="dxa"/>
          </w:tcPr>
          <w:p>
            <w:pPr>
              <w:spacing w:after="60"/>
            </w:pPr>
            <w:r/>
            <w:r>
              <w:rPr>
                <w:b w:val="0"/>
                <w:sz w:val="20"/>
              </w:rPr>
              <w:t>1.32</w:t>
            </w:r>
          </w:p>
        </w:tc>
        <w:tc>
          <w:tcPr>
            <w:tcW w:w="1417" w:type="dxa"/>
          </w:tcPr>
          <w:p>
            <w:pPr>
              <w:spacing w:after="60"/>
            </w:pPr>
            <w:r/>
            <w:r>
              <w:rPr>
                <w:b w:val="0"/>
                <w:sz w:val="20"/>
              </w:rPr>
              <w:t>22.10.2026</w:t>
            </w:r>
          </w:p>
        </w:tc>
        <w:tc>
          <w:tcPr>
            <w:tcW w:w="6406" w:type="dxa"/>
          </w:tcPr>
          <w:p>
            <w:pPr>
              <w:spacing w:after="60"/>
            </w:pPr>
            <w:r/>
            <w:r>
              <w:rPr>
                <w:b w:val="0"/>
                <w:sz w:val="20"/>
              </w:rPr>
              <w:t>Lapso L-22: remissões erradas nas normas dos treinadores de cães perigosos (arts. 130.º, 131.º, 132.º e 134.º). Origem: pedido de esclarecimento de um treinador certificado pela PSP sobre os documentos para o título profissional (DL 315/2009, art. 25.º).</w:t>
            </w:r>
          </w:p>
        </w:tc>
      </w:tr>
      <w:tr>
        <w:tc>
          <w:tcPr>
            <w:tcW w:w="1247" w:type="dxa"/>
          </w:tcPr>
          <w:p>
            <w:pPr>
              <w:spacing w:after="60"/>
            </w:pPr>
            <w:r/>
            <w:r>
              <w:rPr>
                <w:b w:val="0"/>
                <w:sz w:val="20"/>
              </w:rPr>
              <w:t>1.33</w:t>
            </w:r>
          </w:p>
        </w:tc>
        <w:tc>
          <w:tcPr>
            <w:tcW w:w="1417" w:type="dxa"/>
          </w:tcPr>
          <w:p>
            <w:pPr>
              <w:spacing w:after="60"/>
            </w:pPr>
            <w:r/>
            <w:r>
              <w:rPr>
                <w:b w:val="0"/>
                <w:sz w:val="20"/>
              </w:rPr>
              <w:t>23.10.2026</w:t>
            </w:r>
          </w:p>
        </w:tc>
        <w:tc>
          <w:tcPr>
            <w:tcW w:w="6406" w:type="dxa"/>
          </w:tcPr>
          <w:p>
            <w:pPr>
              <w:spacing w:after="60"/>
            </w:pPr>
            <w:r/>
            <w:r>
              <w:rPr>
                <w:b w:val="0"/>
                <w:sz w:val="20"/>
              </w:rPr>
              <w:t>Ficha nova D-02 (associação titular de cão perigoso: falta a regra da licença e a adoção fica entre duas normas contrárias). O art. 69.º, n.º 7 admite a associação zoófila como titular, mas o art. 110.º, n.ºs 1 e 3 só prevê a licença para pessoa singular; o art. 81.º obriga a listar para adoção os animais aptos e o art. 127.º, n.º 4 proíbe a publicidade de animais perigosos. Origem: pedido de esclarecimento de uma associação zoófila.</w:t>
            </w:r>
          </w:p>
        </w:tc>
      </w:tr>
      <w:tr>
        <w:tc>
          <w:tcPr>
            <w:tcW w:w="1247" w:type="dxa"/>
          </w:tcPr>
          <w:p>
            <w:pPr>
              <w:spacing w:after="60"/>
            </w:pPr>
            <w:r/>
            <w:r>
              <w:rPr>
                <w:b w:val="0"/>
                <w:sz w:val="20"/>
              </w:rPr>
              <w:t>3.0 (ensaio)</w:t>
            </w:r>
          </w:p>
        </w:tc>
        <w:tc>
          <w:tcPr>
            <w:tcW w:w="1417" w:type="dxa"/>
          </w:tcPr>
          <w:p>
            <w:pPr>
              <w:spacing w:after="60"/>
            </w:pPr>
            <w:r/>
            <w:r>
              <w:rPr>
                <w:b w:val="0"/>
                <w:sz w:val="20"/>
              </w:rPr>
              <w:t>27.9.2026</w:t>
            </w:r>
          </w:p>
        </w:tc>
        <w:tc>
          <w:tcPr>
            <w:tcW w:w="6406" w:type="dxa"/>
          </w:tcPr>
          <w:p>
            <w:pPr>
              <w:spacing w:after="60"/>
            </w:pPr>
            <w:r/>
            <w:r>
              <w:rPr>
                <w:b w:val="0"/>
                <w:sz w:val="20"/>
              </w:rPr>
              <w:t>Ensaio da opção B, a partir do ensaio 2.0: o código permanente passa a ser a sigla do tema principal e um número dentro do tema (TIT-01 a TIT-18, CED-01 a CED-17). Localização pela epígrafe, ordem do RGAC e etiquetas mantêm-se como no ensaio 2.0.</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TIT-01 a CED-17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Código do Procedimento Administrativo, aprovado pelo Decreto-Lei n.º 4/2015, de 7 de janeiro, versão em vigor. </w:t>
      </w:r>
      <w:hyperlink r:id="rId18">
        <w:r>
          <w:rPr>
            <w:u w:val="single"/>
          </w:rPr>
          <w:t xml:space="preserve">https://www.pgdlisboa.pt/leis/lei_mostra_articulado.php?nid=2248&amp;tabela=leis</w:t>
        </w:r>
      </w:hyperlink>
    </w:p>
    <w:p>
      <w:pPr>
        <w:spacing w:after="80"/>
        <w:ind w:left="454" w:hanging="454"/>
      </w:pPr>
      <w:r>
        <w:rPr>
          <w:b w:val="0"/>
          <w:i w:val="0"/>
        </w:rPr>
        <w:t xml:space="preserve">Lei n.º 36/2021, de 14 de junho, que aprova a Lei-Quadro do Estatuto de Utilidade Pública. </w:t>
      </w:r>
      <w:hyperlink r:id="rId19">
        <w:r>
          <w:rPr>
            <w:u w:val="single"/>
          </w:rPr>
          <w:t xml:space="preserve">https://info.portaldasfinancas.gov.pt/pt/informacao_fiscal/legislacao/diplomas_legislativos/Documents/Lei_36_2021.pdf</w:t>
        </w:r>
      </w:hyperlink>
    </w:p>
    <w:p>
      <w:pPr>
        <w:spacing w:after="80"/>
        <w:ind w:left="454" w:hanging="454"/>
      </w:pPr>
      <w:r>
        <w:rPr>
          <w:b w:val="0"/>
          <w:i w:val="0"/>
        </w:rPr>
        <w:t xml:space="preserve">Regulamento (UE) 2016/679 do Parlamento Europeu e do Conselho, de 27 de abril de 2016 (Regulamento Geral sobre a Proteção de Dados). </w:t>
      </w:r>
      <w:hyperlink r:id="rId20">
        <w:r>
          <w:rPr>
            <w:u w:val="single"/>
          </w:rPr>
          <w:t xml:space="preserve">https://www.pgdlisboa.pt/leis/lei_mostra_articulado.php?nid=2961&amp;tabela=leis</w:t>
        </w:r>
      </w:hyperlink>
    </w:p>
    <w:p>
      <w:pPr>
        <w:spacing w:after="80"/>
        <w:ind w:left="454" w:hanging="454"/>
      </w:pPr>
      <w:r>
        <w:rPr>
          <w:b w:val="0"/>
          <w:i w:val="0"/>
        </w:rPr>
        <w:t xml:space="preserve">Decreto-Lei n.º 59/2022, de 13 de setembro (execução do Regulamento (UE) 2016/1012, condições zootécnicas e genealógicas dos animais reprodutores). </w:t>
      </w:r>
      <w:hyperlink r:id="rId21">
        <w:r>
          <w:rPr>
            <w:u w:val="single"/>
          </w:rPr>
          <w:t xml:space="preserve">https://diariodarepublica.pt/dr/detalhe/decreto-lei/59-2022-200907657</w:t>
        </w:r>
      </w:hyperlink>
    </w:p>
    <w:p>
      <w:pPr>
        <w:spacing w:after="80"/>
        <w:ind w:left="454" w:hanging="454"/>
      </w:pPr>
      <w:r>
        <w:rPr>
          <w:b w:val="0"/>
          <w:i w:val="0"/>
        </w:rPr>
        <w:t xml:space="preserve">Despacho n.º 15262/2012, de 28 de novembro (unidades orgânicas flexíveis da DGAV). </w:t>
      </w:r>
      <w:hyperlink r:id="rId22">
        <w:r>
          <w:rPr>
            <w:u w:val="single"/>
          </w:rPr>
          <w:t xml:space="preserve">https://diariodarepublica.pt/dr/detalhe/despacho/15262-2012-2009106</w:t>
        </w:r>
      </w:hyperlink>
    </w:p>
    <w:p>
      <w:pPr>
        <w:spacing w:after="80"/>
        <w:ind w:left="454" w:hanging="454"/>
      </w:pPr>
      <w:r>
        <w:rPr>
          <w:b w:val="0"/>
          <w:i w:val="0"/>
        </w:rPr>
        <w:t xml:space="preserve">Decreto Regulamentar n.º 4/2025, de 7 de abril (quarta alteração da orgânica da DGAV, Decreto Regulamentar n.º 31/2012, de 13 de março). </w:t>
      </w:r>
      <w:hyperlink r:id="rId23">
        <w:r>
          <w:rPr>
            <w:u w:val="single"/>
          </w:rPr>
          <w:t xml:space="preserve">https://diariodarepublica.pt/dr/detalhe/decreto-regulamentar/4-2025-913947258</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24">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25">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6">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7">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8">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9">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30">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31">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32">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33">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34">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35">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6">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7">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8">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DGAV. Raças Autóctones, página do sítio da DGAV, consultada em 22.10.2026. </w:t>
      </w:r>
      <w:hyperlink r:id="rId39">
        <w:r>
          <w:rPr>
            <w:u w:val="single"/>
          </w:rPr>
          <w:t xml:space="preserve">https://www.dgav.pt/animais/conteudo/recursos-geneticos-animais/racas-autoctones/</w:t>
        </w:r>
      </w:hyperlink>
    </w:p>
    <w:p>
      <w:pPr>
        <w:spacing w:after="80"/>
        <w:ind w:left="454" w:hanging="454"/>
      </w:pPr>
      <w:r>
        <w:rPr>
          <w:b w:val="0"/>
          <w:i w:val="0"/>
        </w:rPr>
        <w:t xml:space="preserve">ICNF (2023). Estratégia Nacional para os Animais Errantes (ENAE), versão submetida a consulta pública. </w:t>
      </w:r>
      <w:hyperlink r:id="rId40">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41">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42">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43">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44">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45">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46">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7">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8">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9">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Clube Português de Canicultura (2019). Regulamento do Livro de Origens Português e do Registo Inicial, 23.11.2019. </w:t>
      </w:r>
      <w:hyperlink r:id="rId50">
        <w:r>
          <w:rPr>
            <w:u w:val="single"/>
          </w:rPr>
          <w:t xml:space="preserve">https://www.cpc.pt/wp-content/uploads/2020/12/lop_ri.pdf</w:t>
        </w:r>
      </w:hyperlink>
    </w:p>
    <w:p>
      <w:pPr>
        <w:spacing w:after="80"/>
        <w:ind w:left="454" w:hanging="454"/>
      </w:pPr>
      <w:r>
        <w:rPr>
          <w:b w:val="0"/>
          <w:i w:val="0"/>
        </w:rPr>
        <w:t xml:space="preserve">Ordem dos Médicos Veterinários (2015). Parecer sobre o abandono de animais em centros de atendimento médico-veterinário, novembro de 2015. </w:t>
      </w:r>
      <w:hyperlink r:id="rId51">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52">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53">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54">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55">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56">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57">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8">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9">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60">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61">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62">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63">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64">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65">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66">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67">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8">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9">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70">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71">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72">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73">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74">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75">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76">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77">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8">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9">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80">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81">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82">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83">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3.0 (ensaio), com o conteúdo da versão 1.33.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www.pgdlisboa.pt/leis/lei_mostra_articulado.php?nid=2248&amp;tabela=leis" TargetMode="External"/><Relationship Id="rId19" Type="http://schemas.openxmlformats.org/officeDocument/2006/relationships/hyperlink" Target="https://info.portaldasfinancas.gov.pt/pt/informacao_fiscal/legislacao/diplomas_legislativos/Documents/Lei_36_2021.pdf" TargetMode="External"/><Relationship Id="rId20" Type="http://schemas.openxmlformats.org/officeDocument/2006/relationships/hyperlink" Target="https://www.pgdlisboa.pt/leis/lei_mostra_articulado.php?nid=2961&amp;tabela=leis" TargetMode="External"/><Relationship Id="rId21" Type="http://schemas.openxmlformats.org/officeDocument/2006/relationships/hyperlink" Target="https://diariodarepublica.pt/dr/detalhe/decreto-lei/59-2022-200907657" TargetMode="External"/><Relationship Id="rId22" Type="http://schemas.openxmlformats.org/officeDocument/2006/relationships/hyperlink" Target="https://diariodarepublica.pt/dr/detalhe/despacho/15262-2012-2009106" TargetMode="External"/><Relationship Id="rId23" Type="http://schemas.openxmlformats.org/officeDocument/2006/relationships/hyperlink" Target="https://diariodarepublica.pt/dr/detalhe/decreto-regulamentar/4-2025-913947258" TargetMode="External"/><Relationship Id="rId24" Type="http://schemas.openxmlformats.org/officeDocument/2006/relationships/hyperlink" Target="https://eur-lex.europa.eu/eli/reg/2026/1818/oj/por" TargetMode="External"/><Relationship Id="rId25" Type="http://schemas.openxmlformats.org/officeDocument/2006/relationships/hyperlink" Target="https://files.dre.pt/2s/2023/01/016000000/0033100335.pdf" TargetMode="External"/><Relationship Id="rId26" Type="http://schemas.openxmlformats.org/officeDocument/2006/relationships/hyperlink" Target="https://www.cm-moita.pt/cmmoita/uploads/writer_file/document/9889/regulamento_cuidador_informal.pdf" TargetMode="External"/><Relationship Id="rId27" Type="http://schemas.openxmlformats.org/officeDocument/2006/relationships/hyperlink" Target="https://www.pgdlisboa.pt/leis/lei_mostra_articulado.php?nid=1990&amp;tabela=leis" TargetMode="External"/><Relationship Id="rId28" Type="http://schemas.openxmlformats.org/officeDocument/2006/relationships/hyperlink" Target="https://www.mun-setubal.pt/wp-content/uploads/2020/07/RSBEAMS-2020.pdf" TargetMode="External"/><Relationship Id="rId29" Type="http://schemas.openxmlformats.org/officeDocument/2006/relationships/hyperlink" Target="https://files.diariodarepublica.pt/gratuitos/2s/2023/03/2S061A0000S00.pdf" TargetMode="External"/><Relationship Id="rId30" Type="http://schemas.openxmlformats.org/officeDocument/2006/relationships/hyperlink" Target="https://files.diariodarepublica.pt/1s/2025/04/06800/0007500080.pdf" TargetMode="External"/><Relationship Id="rId31" Type="http://schemas.openxmlformats.org/officeDocument/2006/relationships/hyperlink" Target="https://diariodarepublica.pt/dr/detalhe/lei/73-a-2025-993270096" TargetMode="External"/><Relationship Id="rId32" Type="http://schemas.openxmlformats.org/officeDocument/2006/relationships/hyperlink" Target="https://files.diariodarepublica.pt/2s/2026/03/045000000/0023300269.pdf" TargetMode="External"/><Relationship Id="rId33" Type="http://schemas.openxmlformats.org/officeDocument/2006/relationships/hyperlink" Target="https://diariodarepublica.pt/dr/detalhe/despacho/9102-2026-1148891344" TargetMode="External"/><Relationship Id="rId34" Type="http://schemas.openxmlformats.org/officeDocument/2006/relationships/hyperlink" Target="https://diariodarepublica.pt/dr/detalhe/lei/6-2022-177309291" TargetMode="External"/><Relationship Id="rId35" Type="http://schemas.openxmlformats.org/officeDocument/2006/relationships/hyperlink" Target="https://files.diariodarepublica.pt/2s/2022/02/031000000/0030000303.pdf" TargetMode="External"/><Relationship Id="rId36" Type="http://schemas.openxmlformats.org/officeDocument/2006/relationships/hyperlink" Target="https://anmp.pt/file-viewer/?pstid=41508" TargetMode="External"/><Relationship Id="rId37"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8"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9" Type="http://schemas.openxmlformats.org/officeDocument/2006/relationships/hyperlink" Target="https://www.dgav.pt/animais/conteudo/recursos-geneticos-animais/racas-autoctones/" TargetMode="External"/><Relationship Id="rId40" Type="http://schemas.openxmlformats.org/officeDocument/2006/relationships/hyperlink" Target="https://www.icnf.pt/api/file/doc/41f8f44aee23be1a" TargetMode="External"/><Relationship Id="rId41" Type="http://schemas.openxmlformats.org/officeDocument/2006/relationships/hyperlink" Target="https://www.dgav.pt/wp-content/uploads/2021/08/Relatorio-FINAL-avaliacao-da-implementacao-da-Lei-27-2016.pdf" TargetMode="External"/><Relationship Id="rId42" Type="http://schemas.openxmlformats.org/officeDocument/2006/relationships/hyperlink" Target="https://www.provedor-jus.pt/documentos/082A_96.pdf" TargetMode="External"/><Relationship Id="rId43" Type="http://schemas.openxmlformats.org/officeDocument/2006/relationships/hyperlink" Target="https://www.provedor-jus.pt/documentos/canideos-captura-alojamento-e-abate/" TargetMode="External"/><Relationship Id="rId44" Type="http://schemas.openxmlformats.org/officeDocument/2006/relationships/hyperlink" Target="https://www.provedor-jus.pt/documentos/ambiente-salubridade-habitacao-acumulacao-de-residuos-saude-mental-sindrome-de-diogenes-004-a-2013/" TargetMode="External"/><Relationship Id="rId45" Type="http://schemas.openxmlformats.org/officeDocument/2006/relationships/hyperlink" Target="https://www.provedor-jus.pt/documentos/Relat2020%20_Relatorio.pdf" TargetMode="External"/><Relationship Id="rId46" Type="http://schemas.openxmlformats.org/officeDocument/2006/relationships/hyperlink" Target="https://www.provedor-jus.pt/documentos/Relatorio%202023.pdf" TargetMode="External"/><Relationship Id="rId47" Type="http://schemas.openxmlformats.org/officeDocument/2006/relationships/hyperlink" Target="https://food.ec.europa.eu/document/download/caf8cd1d-967a-4e60-a0e5-19401be1c6b3_en?filename=aw_awp_leg_dog-cat_swd-2024-88.pdf" TargetMode="External"/><Relationship Id="rId48" Type="http://schemas.openxmlformats.org/officeDocument/2006/relationships/hyperlink" Target="https://www.woah.org/fileadmin/Home/eng/Health_standards/tahc/2023/chapitre_aw_stray_dog.pdf" TargetMode="External"/><Relationship Id="rId49" Type="http://schemas.openxmlformats.org/officeDocument/2006/relationships/hyperlink" Target="https://www.dgav.pt/wp-content/uploads/2026/03/Relatorio_CROs_2025_31032026-rev.pdf" TargetMode="External"/><Relationship Id="rId50" Type="http://schemas.openxmlformats.org/officeDocument/2006/relationships/hyperlink" Target="https://www.cpc.pt/wp-content/uploads/2020/12/lop_ri.pdf" TargetMode="External"/><Relationship Id="rId51" Type="http://schemas.openxmlformats.org/officeDocument/2006/relationships/hyperlink" Target="https://www.omv.pt/dmdocuments/vi_formacao_omv/abandono_animais_camv_ultimoparecer_nov2015.pdf" TargetMode="External"/><Relationship Id="rId52"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53" Type="http://schemas.openxmlformats.org/officeDocument/2006/relationships/hyperlink" Target="https://apmveac.pt/wp-content/uploads/2021/04/Legislacao.Animais.Companhia_09-04-2021-amarelo-final-.pdf" TargetMode="External"/><Relationship Id="rId54" Type="http://schemas.openxmlformats.org/officeDocument/2006/relationships/hyperlink" Target="https://apmveac.pt/wp-content/uploads/2023/09/Parecer-APMVEAC-Consulta-Publica-ENAE.pdf" TargetMode="External"/><Relationship Id="rId55" Type="http://schemas.openxmlformats.org/officeDocument/2006/relationships/hyperlink" Target="https://www.arpa-associacao.pt/media/attachments/2022/12/14/parecer-arpa-versAo-4-final.pdf" TargetMode="External"/><Relationship Id="rId56" Type="http://schemas.openxmlformats.org/officeDocument/2006/relationships/hyperlink" Target="https://www.spea.pt/wp-content/uploads/2020/09/ParecerSPEA_Planos-Gestao-Parques-Naturais-Ilha-2020.pdf" TargetMode="External"/><Relationship Id="rId57" Type="http://schemas.openxmlformats.org/officeDocument/2006/relationships/hyperlink" Target="https://spea.pt/um-gato-feliz-e-alimentado-mantem-o-passarinho-afastado/" TargetMode="External"/><Relationship Id="rId58" Type="http://schemas.openxmlformats.org/officeDocument/2006/relationships/hyperlink" Target="https://matilhascoimbra.pt/pages/projecto-2" TargetMode="External"/><Relationship Id="rId59" Type="http://schemas.openxmlformats.org/officeDocument/2006/relationships/hyperlink" Target="https://www.pan.com.pt/pan-destaca-vitorias-no-bem-estar-animal-mas-denuncia-retrocesso-grave-no-orcamento-do-estado-para-2026/" TargetMode="External"/><Relationship Id="rId60" Type="http://schemas.openxmlformats.org/officeDocument/2006/relationships/hyperlink" Target="https://www.pcp.pt/solucao-prevencao-pela-esterilizacao-rede-publica-de-veterinarios-nao-abate-de-animais-abandonados" TargetMode="External"/><Relationship Id="rId61" Type="http://schemas.openxmlformats.org/officeDocument/2006/relationships/hyperlink" Target="https://www.pcp.pt/campanha-nacional-de-esterilizacao-de-animais-errantes-0" TargetMode="External"/><Relationship Id="rId62" Type="http://schemas.openxmlformats.org/officeDocument/2006/relationships/hyperlink" Target="https://programa.partidolivre.pt/propostas/N.13/" TargetMode="External"/><Relationship Id="rId63" Type="http://schemas.openxmlformats.org/officeDocument/2006/relationships/hyperlink" Target="https://maratonapelosanimais.pt/wp-content/uploads/2024/03/respostas-completas.pdf" TargetMode="External"/><Relationship Id="rId64" Type="http://schemas.openxmlformats.org/officeDocument/2006/relationships/hyperlink" Target="https://www.cidp.pt/revistas/rjlb/2019/2/2019_02_0077_0095.pdf" TargetMode="External"/><Relationship Id="rId65" Type="http://schemas.openxmlformats.org/officeDocument/2006/relationships/hyperlink" Target="https://www.cidp.pt/revistas/rjlb/2019/2/2019_02_0305_0348.pdf" TargetMode="External"/><Relationship Id="rId66" Type="http://schemas.openxmlformats.org/officeDocument/2006/relationships/hyperlink" Target="https://cej.justica.gov.pt/LinkClick.aspx?fileticket=VpuQj7jZ-us%3D&amp;portalid=30" TargetMode="External"/><Relationship Id="rId67" Type="http://schemas.openxmlformats.org/officeDocument/2006/relationships/hyperlink" Target="https://jurisprudencia.pt/acordao/76412/" TargetMode="External"/><Relationship Id="rId68" Type="http://schemas.openxmlformats.org/officeDocument/2006/relationships/hyperlink" Target="https://trc.pt/responsabilidade-civil-danos-causados-por-animais-dever-de-vigilancia/" TargetMode="External"/><Relationship Id="rId69" Type="http://schemas.openxmlformats.org/officeDocument/2006/relationships/hyperlink" Target="https://jurisprudencia.pt/acordao/128487/" TargetMode="External"/><Relationship Id="rId70" Type="http://schemas.openxmlformats.org/officeDocument/2006/relationships/hyperlink" Target="https://www.tribunalconstitucional.pt/tc/acordaos/20210867.html" TargetMode="External"/><Relationship Id="rId71" Type="http://schemas.openxmlformats.org/officeDocument/2006/relationships/hyperlink" Target="https://www.tribunalconstitucional.pt/tc/acordaos/20240070.html" TargetMode="External"/><Relationship Id="rId72" Type="http://schemas.openxmlformats.org/officeDocument/2006/relationships/hyperlink" Target="https://jurisprudencia.pt/acordao/221373/" TargetMode="External"/><Relationship Id="rId73" Type="http://schemas.openxmlformats.org/officeDocument/2006/relationships/hyperlink" Target="https://www.tribunalconstitucional.pt/tc/acordaos/20240478.html" TargetMode="External"/><Relationship Id="rId74" Type="http://schemas.openxmlformats.org/officeDocument/2006/relationships/hyperlink" Target="https://www.dgsi.pt/jtrl.nsf/33182fc732316039802565fa00497eec/7462ba7a0546bac680258c8b0049a31e?OpenDocument" TargetMode="External"/><Relationship Id="rId75" Type="http://schemas.openxmlformats.org/officeDocument/2006/relationships/hyperlink" Target="https://www.dgsi.pt/jtrp.nsf/56a6e7121657f91e80257cda00381fdf/703e8b815ea39ece80258b34004b8157" TargetMode="External"/><Relationship Id="rId76" Type="http://schemas.openxmlformats.org/officeDocument/2006/relationships/hyperlink" Target="https://www.nature.com/articles/ncomms2380" TargetMode="External"/><Relationship Id="rId77" Type="http://schemas.openxmlformats.org/officeDocument/2006/relationships/hyperlink" Target="https://doi.org/10.2460/javma.2005.227.1775" TargetMode="External"/><Relationship Id="rId78" Type="http://schemas.openxmlformats.org/officeDocument/2006/relationships/hyperlink" Target="https://www.frontiersin.org/journals/veterinary-science/articles/10.3389/fvets.2019.00238/full" TargetMode="External"/><Relationship Id="rId79" Type="http://schemas.openxmlformats.org/officeDocument/2006/relationships/hyperlink" Target="https://www.frontiersin.org/journals/veterinary-science/articles/10.3389/fvets.2019.00077/full" TargetMode="External"/><Relationship Id="rId80" Type="http://schemas.openxmlformats.org/officeDocument/2006/relationships/hyperlink" Target="https://doi.org/10.1093/jel/eqz035" TargetMode="External"/><Relationship Id="rId81" Type="http://schemas.openxmlformats.org/officeDocument/2006/relationships/hyperlink" Target="https://pmc.ncbi.nlm.nih.gov/articles/PMC9169806/" TargetMode="External"/><Relationship Id="rId82" Type="http://schemas.openxmlformats.org/officeDocument/2006/relationships/hyperlink" Target="https://pmc.ncbi.nlm.nih.gov/articles/PMC11939513/" TargetMode="External"/><Relationship Id="rId83" Type="http://schemas.openxmlformats.org/officeDocument/2006/relationships/hyperlink" Target="https://dspace.uevora.pt/rdpc/bitstream/10174/38522/1/Gal%C3%A3o%20et%20al_2025_When%20pets%20go%20wild.pdf" TargetMode="External"/><Relationship Id="rId8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