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Análise técnica de suporte à pronúncia da Direção de Serviços de Bem-Estar Animal.</w:t>
      </w:r>
    </w:p>
    <w:p>
      <w:pPr>
        <w:spacing w:before="360" w:after="120"/>
      </w:pPr>
      <w:r>
        <w:rPr>
          <w:b/>
          <w:color w:val="1F3B63"/>
          <w:sz w:val="26"/>
        </w:rPr>
        <w:t>Temas em análise</w:t>
      </w:r>
    </w:p>
    <w:p>
      <w:pPr>
        <w:spacing w:after="120"/>
      </w:pPr>
      <w:r>
        <w:rPr>
          <w:b w:val="0"/>
          <w:i w:val="0"/>
          <w:sz w:val="21"/>
        </w:rPr>
        <w:t>A numeração é a dos temas analisados e não a do diploma.</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139"/>
          </w:tcPr>
          <w:p>
            <w:pPr>
              <w:spacing w:after="40"/>
            </w:pPr>
            <w:r/>
            <w:r>
              <w:rPr>
                <w:b/>
                <w:color w:val="1F3B63"/>
                <w:sz w:val="18"/>
              </w:rPr>
              <w:t>Tema</w:t>
            </w:r>
          </w:p>
        </w:tc>
        <w:tc>
          <w:tcPr>
            <w:tcW w:type="dxa" w:w="2948"/>
          </w:tcPr>
          <w:p>
            <w:pPr>
              <w:spacing w:after="40"/>
            </w:pPr>
            <w:r/>
            <w:r>
              <w:rPr>
                <w:b/>
                <w:color w:val="1F3B63"/>
                <w:sz w:val="18"/>
              </w:rPr>
              <w:t>Norma principal</w:t>
            </w:r>
          </w:p>
        </w:tc>
      </w:tr>
      <w:tr>
        <w:tc>
          <w:tcPr>
            <w:tcW w:type="dxa" w:w="567"/>
          </w:tcPr>
          <w:p>
            <w:pPr>
              <w:spacing w:after="40"/>
              <w:jc w:val="both"/>
            </w:pPr>
            <w:r/>
            <w:r>
              <w:rPr>
                <w:sz w:val="18"/>
              </w:rPr>
              <w:t>01</w:t>
            </w:r>
          </w:p>
        </w:tc>
        <w:tc>
          <w:tcPr>
            <w:tcW w:type="dxa" w:w="4139"/>
          </w:tcPr>
          <w:p>
            <w:pPr>
              <w:spacing w:after="40"/>
              <w:jc w:val="both"/>
            </w:pPr>
            <w:r/>
            <w:r>
              <w:rPr>
                <w:sz w:val="18"/>
              </w:rPr>
              <w:t>A DGAV no procedimento das lojas de venda de animais de companhia e a articulação com o regime dos animais de companhia e com a Lei da Saúde Animal</w:t>
            </w:r>
          </w:p>
        </w:tc>
        <w:tc>
          <w:tcPr>
            <w:tcW w:type="dxa" w:w="2948"/>
          </w:tcPr>
          <w:p>
            <w:pPr>
              <w:spacing w:after="40"/>
              <w:jc w:val="both"/>
            </w:pPr>
            <w:r/>
            <w:r>
              <w:rPr>
                <w:sz w:val="18"/>
              </w:rPr>
              <w:t>Art.º 16.º, n.º 4, e Anexo II; art.ºs 2.º e 36.º, n.º 3</w:t>
            </w:r>
          </w:p>
        </w:tc>
      </w:tr>
      <w:tr>
        <w:tc>
          <w:tcPr>
            <w:tcW w:type="dxa" w:w="567"/>
          </w:tcPr>
          <w:p>
            <w:pPr>
              <w:spacing w:after="40"/>
              <w:jc w:val="both"/>
            </w:pPr>
            <w:r/>
            <w:r>
              <w:rPr>
                <w:sz w:val="18"/>
              </w:rPr>
              <w:t>02</w:t>
            </w:r>
          </w:p>
        </w:tc>
        <w:tc>
          <w:tcPr>
            <w:tcW w:type="dxa" w:w="4139"/>
          </w:tcPr>
          <w:p>
            <w:pPr>
              <w:spacing w:after="40"/>
              <w:jc w:val="both"/>
            </w:pPr>
            <w:r/>
            <w:r>
              <w:rPr>
                <w:sz w:val="18"/>
              </w:rPr>
              <w:t>Animais de companhia na definição de atividade pecuária: qual a norma de bem-estar aplicável</w:t>
            </w:r>
          </w:p>
        </w:tc>
        <w:tc>
          <w:tcPr>
            <w:tcW w:type="dxa" w:w="2948"/>
          </w:tcPr>
          <w:p>
            <w:pPr>
              <w:spacing w:after="40"/>
              <w:jc w:val="both"/>
            </w:pPr>
            <w:r/>
            <w:r>
              <w:rPr>
                <w:sz w:val="18"/>
              </w:rPr>
              <w:t>Art.º 48.º, als. b) e c)</w:t>
            </w:r>
          </w:p>
        </w:tc>
      </w:tr>
      <w:tr>
        <w:tc>
          <w:tcPr>
            <w:tcW w:type="dxa" w:w="567"/>
          </w:tcPr>
          <w:p>
            <w:pPr>
              <w:spacing w:after="40"/>
              <w:jc w:val="both"/>
            </w:pPr>
            <w:r/>
            <w:r>
              <w:rPr>
                <w:sz w:val="18"/>
              </w:rPr>
              <w:t>03</w:t>
            </w:r>
          </w:p>
        </w:tc>
        <w:tc>
          <w:tcPr>
            <w:tcW w:type="dxa" w:w="4139"/>
          </w:tcPr>
          <w:p>
            <w:pPr>
              <w:spacing w:after="40"/>
              <w:jc w:val="both"/>
            </w:pPr>
            <w:r/>
            <w:r>
              <w:rPr>
                <w:sz w:val="18"/>
              </w:rPr>
              <w:t>Deferimento tácito em atividades com animais vivos</w:t>
            </w:r>
          </w:p>
        </w:tc>
        <w:tc>
          <w:tcPr>
            <w:tcW w:type="dxa" w:w="2948"/>
          </w:tcPr>
          <w:p>
            <w:pPr>
              <w:spacing w:after="40"/>
              <w:jc w:val="both"/>
            </w:pPr>
            <w:r/>
            <w:r>
              <w:rPr>
                <w:sz w:val="18"/>
              </w:rPr>
              <w:t>Art.º 25.º, n.º 3</w:t>
            </w:r>
          </w:p>
        </w:tc>
      </w:tr>
      <w:tr>
        <w:tc>
          <w:tcPr>
            <w:tcW w:type="dxa" w:w="567"/>
          </w:tcPr>
          <w:p>
            <w:pPr>
              <w:spacing w:after="40"/>
              <w:jc w:val="both"/>
            </w:pPr>
            <w:r/>
            <w:r>
              <w:rPr>
                <w:sz w:val="18"/>
              </w:rPr>
              <w:t>04</w:t>
            </w:r>
          </w:p>
        </w:tc>
        <w:tc>
          <w:tcPr>
            <w:tcW w:type="dxa" w:w="4139"/>
          </w:tcPr>
          <w:p>
            <w:pPr>
              <w:spacing w:after="40"/>
              <w:jc w:val="both"/>
            </w:pPr>
            <w:r/>
            <w:r>
              <w:rPr>
                <w:sz w:val="18"/>
              </w:rPr>
              <w:t>Animais errantes e articulação com os centros de recolha oficial</w:t>
            </w:r>
          </w:p>
        </w:tc>
        <w:tc>
          <w:tcPr>
            <w:tcW w:type="dxa" w:w="2948"/>
          </w:tcPr>
          <w:p>
            <w:pPr>
              <w:spacing w:after="40"/>
              <w:jc w:val="both"/>
            </w:pPr>
            <w:r/>
            <w:r>
              <w:rPr>
                <w:sz w:val="18"/>
              </w:rPr>
              <w:t>Art.ºs 57.º e 59.º</w:t>
            </w:r>
          </w:p>
        </w:tc>
      </w:tr>
      <w:tr>
        <w:tc>
          <w:tcPr>
            <w:tcW w:type="dxa" w:w="567"/>
          </w:tcPr>
          <w:p>
            <w:pPr>
              <w:spacing w:after="40"/>
              <w:jc w:val="both"/>
            </w:pPr>
            <w:r/>
            <w:r>
              <w:rPr>
                <w:sz w:val="18"/>
              </w:rPr>
              <w:t>05</w:t>
            </w:r>
          </w:p>
        </w:tc>
        <w:tc>
          <w:tcPr>
            <w:tcW w:type="dxa" w:w="4139"/>
          </w:tcPr>
          <w:p>
            <w:pPr>
              <w:spacing w:after="40"/>
              <w:jc w:val="both"/>
            </w:pPr>
            <w:r/>
            <w:r>
              <w:rPr>
                <w:sz w:val="18"/>
              </w:rPr>
              <w:t>Acesso de animais de companhia a estabelecimentos</w:t>
            </w:r>
          </w:p>
        </w:tc>
        <w:tc>
          <w:tcPr>
            <w:tcW w:type="dxa" w:w="2948"/>
          </w:tcPr>
          <w:p>
            <w:pPr>
              <w:spacing w:after="40"/>
              <w:jc w:val="both"/>
            </w:pPr>
            <w:r/>
            <w:r>
              <w:rPr>
                <w:sz w:val="18"/>
              </w:rPr>
              <w:t>Art.º 38.º</w:t>
            </w:r>
          </w:p>
        </w:tc>
      </w:tr>
    </w:tbl>
    <w:p>
      <w:pPr>
        <w:spacing w:after="80"/>
      </w:pP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Efeito sobre a aprovação sanitária de estabelecimentos</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Ponto 04 — Animais errantes e articulação com os centros de recolha oficial</w:t>
      </w:r>
    </w:p>
    <w:p>
      <w:pPr>
        <w:spacing w:before="240" w:after="80"/>
      </w:pPr>
      <w:r>
        <w:rPr>
          <w:b/>
          <w:color w:val="1F3B63"/>
          <w:sz w:val="22"/>
        </w:rPr>
        <w:t>4.1. O regime vigente dos centros de recolha oficial</w:t>
      </w:r>
    </w:p>
    <w:p>
      <w:pPr>
        <w:spacing w:after="120"/>
      </w:pPr>
      <w:r>
        <w:rPr>
          <w:b w:val="0"/>
          <w:i w:val="0"/>
          <w:sz w:val="21"/>
        </w:rPr>
        <w:t>O centro de recolha oficial é, juridicamente, um alojamento de animais de companhia. A al. t) do n.º 1 do art.º 2.º do Decreto-Lei n.º 276/2001 define «centro de recolha» como «qualquer alojamento oficial onde um animal é hospedado por um período determinado pela autoridade competente, nomeadamente os canis e os gatis municipais», e a al. a) do n.º 1 do art.º 3.º do mesmo diploma inclui expressamente os centros de recolha entre as atividades dependentes de mera comunicação prévia à DGAV. É, por isso, um estabelecimento registado na DGAV, com médico-veterinário responsável e sujeito às normas do seu Capítulo III.</w:t>
      </w:r>
    </w:p>
    <w:p>
      <w:pPr>
        <w:spacing w:after="120"/>
      </w:pPr>
      <w:r>
        <w:rPr>
          <w:b w:val="0"/>
          <w:i w:val="0"/>
          <w:sz w:val="21"/>
        </w:rPr>
        <w:t>A obrigação de o manter está no art.º 11.º do Decreto-Lei n.º 314/2003: as câmaras municipais, isoladamente ou em associação, «são obrigadas a possuir e manter instalações destinadas a canis e gatis, de acordo com as necessidades da zona», com pelo menos duas celas semicirculares para isolamento e quarentena de suspeitos de raiva, podendo celebrar protocolos com municípios vizinhos, e com a direção a cargo do médico-veterinário municipal. A rede resulta do n.º 4 do art.º 2.º da Lei n.º 27/2016.</w:t>
      </w:r>
    </w:p>
    <w:p>
      <w:pPr>
        <w:spacing w:before="240" w:after="80"/>
      </w:pPr>
      <w:r>
        <w:rPr>
          <w:b/>
          <w:color w:val="1F3B63"/>
          <w:sz w:val="22"/>
        </w:rPr>
        <w:t>4.2. Funções e prazos</w:t>
      </w:r>
    </w:p>
    <w:tbl>
      <w:tblPr>
        <w:tblStyle w:val="TableGrid"/>
        <w:tblW w:type="auto" w:w="0"/>
        <w:jc w:val="center"/>
        <w:tblLook w:firstColumn="1" w:firstRow="1" w:lastColumn="0" w:lastRow="0" w:noHBand="0" w:noVBand="1" w:val="04A0"/>
      </w:tblPr>
      <w:tblGrid>
        <w:gridCol w:w="3135"/>
        <w:gridCol w:w="3135"/>
        <w:gridCol w:w="3135"/>
      </w:tblGrid>
      <w:tr>
        <w:tc>
          <w:tcPr>
            <w:tcW w:type="dxa" w:w="1928"/>
          </w:tcPr>
          <w:p>
            <w:pPr>
              <w:spacing w:after="40"/>
            </w:pPr>
            <w:r/>
            <w:r>
              <w:rPr>
                <w:b/>
                <w:color w:val="1F3B63"/>
                <w:sz w:val="18"/>
              </w:rPr>
              <w:t>Função</w:t>
            </w:r>
          </w:p>
        </w:tc>
        <w:tc>
          <w:tcPr>
            <w:tcW w:type="dxa" w:w="2835"/>
          </w:tcPr>
          <w:p>
            <w:pPr>
              <w:spacing w:after="40"/>
            </w:pPr>
            <w:r/>
            <w:r>
              <w:rPr>
                <w:b/>
                <w:color w:val="1F3B63"/>
                <w:sz w:val="18"/>
              </w:rPr>
              <w:t>Norma</w:t>
            </w:r>
          </w:p>
        </w:tc>
        <w:tc>
          <w:tcPr>
            <w:tcW w:type="dxa" w:w="4025"/>
          </w:tcPr>
          <w:p>
            <w:pPr>
              <w:spacing w:after="40"/>
            </w:pPr>
            <w:r/>
            <w:r>
              <w:rPr>
                <w:b/>
                <w:color w:val="1F3B63"/>
                <w:sz w:val="18"/>
              </w:rPr>
              <w:t>Elemento relevante</w:t>
            </w:r>
          </w:p>
        </w:tc>
      </w:tr>
      <w:tr>
        <w:tc>
          <w:tcPr>
            <w:tcW w:type="dxa" w:w="1928"/>
          </w:tcPr>
          <w:p>
            <w:pPr>
              <w:spacing w:after="40"/>
              <w:jc w:val="both"/>
            </w:pPr>
            <w:r/>
            <w:r>
              <w:rPr>
                <w:sz w:val="18"/>
              </w:rPr>
              <w:t>Captura e recolha</w:t>
            </w:r>
          </w:p>
        </w:tc>
        <w:tc>
          <w:tcPr>
            <w:tcW w:type="dxa" w:w="2835"/>
          </w:tcPr>
          <w:p>
            <w:pPr>
              <w:spacing w:after="40"/>
              <w:jc w:val="both"/>
            </w:pPr>
            <w:r/>
            <w:r>
              <w:rPr>
                <w:sz w:val="18"/>
              </w:rPr>
              <w:t>Art.º 19.º do DL 276/2001 e art.º 8.º do DL 314/2003</w:t>
            </w:r>
          </w:p>
        </w:tc>
        <w:tc>
          <w:tcPr>
            <w:tcW w:type="dxa" w:w="4025"/>
          </w:tcPr>
          <w:p>
            <w:pPr>
              <w:spacing w:after="40"/>
              <w:jc w:val="both"/>
            </w:pPr>
            <w:r/>
            <w:r>
              <w:rPr>
                <w:sz w:val="18"/>
              </w:rPr>
              <w:t>Competência das câmaras municipais; os animais são recolhidos ao canil ou gatil municipal</w:t>
            </w:r>
          </w:p>
        </w:tc>
      </w:tr>
      <w:tr>
        <w:tc>
          <w:tcPr>
            <w:tcW w:type="dxa" w:w="1928"/>
          </w:tcPr>
          <w:p>
            <w:pPr>
              <w:spacing w:after="40"/>
              <w:jc w:val="both"/>
            </w:pPr>
            <w:r/>
            <w:r>
              <w:rPr>
                <w:sz w:val="18"/>
              </w:rPr>
              <w:t>Exame clínico e destino</w:t>
            </w:r>
          </w:p>
        </w:tc>
        <w:tc>
          <w:tcPr>
            <w:tcW w:type="dxa" w:w="2835"/>
          </w:tcPr>
          <w:p>
            <w:pPr>
              <w:spacing w:after="40"/>
              <w:jc w:val="both"/>
            </w:pPr>
            <w:r/>
            <w:r>
              <w:rPr>
                <w:sz w:val="18"/>
              </w:rPr>
              <w:t>Art.º 9.º, n.º 1, do DL 314/2003</w:t>
            </w:r>
          </w:p>
        </w:tc>
        <w:tc>
          <w:tcPr>
            <w:tcW w:type="dxa" w:w="4025"/>
          </w:tcPr>
          <w:p>
            <w:pPr>
              <w:spacing w:after="40"/>
              <w:jc w:val="both"/>
            </w:pPr>
            <w:r/>
            <w:r>
              <w:rPr>
                <w:sz w:val="18"/>
              </w:rPr>
              <w:t>Exame pelo médico-veterinário municipal, que decide o destino; permanência mínima de oito dias</w:t>
            </w:r>
          </w:p>
        </w:tc>
      </w:tr>
      <w:tr>
        <w:tc>
          <w:tcPr>
            <w:tcW w:type="dxa" w:w="1928"/>
          </w:tcPr>
          <w:p>
            <w:pPr>
              <w:spacing w:after="40"/>
              <w:jc w:val="both"/>
            </w:pPr>
            <w:r/>
            <w:r>
              <w:rPr>
                <w:sz w:val="18"/>
              </w:rPr>
              <w:t>Presunção de abandono</w:t>
            </w:r>
          </w:p>
        </w:tc>
        <w:tc>
          <w:tcPr>
            <w:tcW w:type="dxa" w:w="2835"/>
          </w:tcPr>
          <w:p>
            <w:pPr>
              <w:spacing w:after="40"/>
              <w:jc w:val="both"/>
            </w:pPr>
            <w:r/>
            <w:r>
              <w:rPr>
                <w:sz w:val="18"/>
              </w:rPr>
              <w:t>Art.º 3.º, n.º 1, da Lei n.º 27/2016</w:t>
            </w:r>
          </w:p>
        </w:tc>
        <w:tc>
          <w:tcPr>
            <w:tcW w:type="dxa" w:w="4025"/>
          </w:tcPr>
          <w:p>
            <w:pPr>
              <w:spacing w:after="40"/>
              <w:jc w:val="both"/>
            </w:pPr>
            <w:r/>
            <w:r>
              <w:rPr>
                <w:sz w:val="18"/>
              </w:rPr>
              <w:t>Decorridos quinze dias sobre a recolha sem reclamação, presumem-se abandonados e são obrigatoriamente esterilizados e encaminhados para adoção</w:t>
            </w:r>
          </w:p>
        </w:tc>
      </w:tr>
      <w:tr>
        <w:tc>
          <w:tcPr>
            <w:tcW w:type="dxa" w:w="1928"/>
          </w:tcPr>
          <w:p>
            <w:pPr>
              <w:spacing w:after="40"/>
              <w:jc w:val="both"/>
            </w:pPr>
            <w:r/>
            <w:r>
              <w:rPr>
                <w:sz w:val="18"/>
              </w:rPr>
              <w:t>Esterilização e CED</w:t>
            </w:r>
          </w:p>
        </w:tc>
        <w:tc>
          <w:tcPr>
            <w:tcW w:type="dxa" w:w="2835"/>
          </w:tcPr>
          <w:p>
            <w:pPr>
              <w:spacing w:after="40"/>
              <w:jc w:val="both"/>
            </w:pPr>
            <w:r/>
            <w:r>
              <w:rPr>
                <w:sz w:val="18"/>
              </w:rPr>
              <w:t>Art.º 4.º da Lei n.º 27/2016 e Portaria n.º 146/2017</w:t>
            </w:r>
          </w:p>
        </w:tc>
        <w:tc>
          <w:tcPr>
            <w:tcW w:type="dxa" w:w="4025"/>
          </w:tcPr>
          <w:p>
            <w:pPr>
              <w:spacing w:after="40"/>
              <w:jc w:val="both"/>
            </w:pPr>
            <w:r/>
            <w:r>
              <w:rPr>
                <w:sz w:val="18"/>
              </w:rPr>
              <w:t>Captura, vacinação e esterilização de errantes e execução dos programas de captura, esterilização e devolução</w:t>
            </w:r>
          </w:p>
        </w:tc>
      </w:tr>
      <w:tr>
        <w:tc>
          <w:tcPr>
            <w:tcW w:type="dxa" w:w="1928"/>
          </w:tcPr>
          <w:p>
            <w:pPr>
              <w:spacing w:after="40"/>
              <w:jc w:val="both"/>
            </w:pPr>
            <w:r/>
            <w:r>
              <w:rPr>
                <w:sz w:val="18"/>
              </w:rPr>
              <w:t>Despesas</w:t>
            </w:r>
          </w:p>
        </w:tc>
        <w:tc>
          <w:tcPr>
            <w:tcW w:type="dxa" w:w="2835"/>
          </w:tcPr>
          <w:p>
            <w:pPr>
              <w:spacing w:after="40"/>
              <w:jc w:val="both"/>
            </w:pPr>
            <w:r/>
            <w:r>
              <w:rPr>
                <w:sz w:val="18"/>
              </w:rPr>
              <w:t>Art.º 9.º, n.º 2, do DL 314/2003</w:t>
            </w:r>
          </w:p>
        </w:tc>
        <w:tc>
          <w:tcPr>
            <w:tcW w:type="dxa" w:w="4025"/>
          </w:tcPr>
          <w:p>
            <w:pPr>
              <w:spacing w:after="40"/>
              <w:jc w:val="both"/>
            </w:pPr>
            <w:r/>
            <w:r>
              <w:rPr>
                <w:sz w:val="18"/>
              </w:rPr>
              <w:t>Alimentação e alojamento a cargo do detentor</w:t>
            </w:r>
          </w:p>
        </w:tc>
      </w:tr>
      <w:tr>
        <w:tc>
          <w:tcPr>
            <w:tcW w:type="dxa" w:w="1928"/>
          </w:tcPr>
          <w:p>
            <w:pPr>
              <w:spacing w:after="40"/>
              <w:jc w:val="both"/>
            </w:pPr>
            <w:r/>
            <w:r>
              <w:rPr>
                <w:sz w:val="18"/>
              </w:rPr>
              <w:t>Cadáveres</w:t>
            </w:r>
          </w:p>
        </w:tc>
        <w:tc>
          <w:tcPr>
            <w:tcW w:type="dxa" w:w="2835"/>
          </w:tcPr>
          <w:p>
            <w:pPr>
              <w:spacing w:after="40"/>
              <w:jc w:val="both"/>
            </w:pPr>
            <w:r/>
            <w:r>
              <w:rPr>
                <w:sz w:val="18"/>
              </w:rPr>
              <w:t>Art.º 12.º do DL 314/2003</w:t>
            </w:r>
          </w:p>
        </w:tc>
        <w:tc>
          <w:tcPr>
            <w:tcW w:type="dxa" w:w="4025"/>
          </w:tcPr>
          <w:p>
            <w:pPr>
              <w:spacing w:after="40"/>
              <w:jc w:val="both"/>
            </w:pPr>
            <w:r/>
            <w:r>
              <w:rPr>
                <w:sz w:val="18"/>
              </w:rPr>
              <w:t>Destruição assegurada pelas câmaras municipais</w:t>
            </w:r>
          </w:p>
        </w:tc>
      </w:tr>
      <w:tr>
        <w:tc>
          <w:tcPr>
            <w:tcW w:type="dxa" w:w="1928"/>
          </w:tcPr>
          <w:p>
            <w:pPr>
              <w:spacing w:after="40"/>
              <w:jc w:val="both"/>
            </w:pPr>
            <w:r/>
            <w:r>
              <w:rPr>
                <w:sz w:val="18"/>
              </w:rPr>
              <w:t>Relato</w:t>
            </w:r>
          </w:p>
        </w:tc>
        <w:tc>
          <w:tcPr>
            <w:tcW w:type="dxa" w:w="2835"/>
          </w:tcPr>
          <w:p>
            <w:pPr>
              <w:spacing w:after="40"/>
              <w:jc w:val="both"/>
            </w:pPr>
            <w:r/>
            <w:r>
              <w:rPr>
                <w:sz w:val="18"/>
              </w:rPr>
              <w:t>Art.º 3.º, n.ºs 9 e 10, da Lei n.º 27/2016</w:t>
            </w:r>
          </w:p>
        </w:tc>
        <w:tc>
          <w:tcPr>
            <w:tcW w:type="dxa" w:w="4025"/>
          </w:tcPr>
          <w:p>
            <w:pPr>
              <w:spacing w:after="40"/>
              <w:jc w:val="both"/>
            </w:pPr>
            <w:r/>
            <w:r>
              <w:rPr>
                <w:sz w:val="18"/>
              </w:rPr>
              <w:t>Relatório de gestão anual publicitado no primeiro mês do ano; relatório nacional da DGAV até ao fim do primeiro trimestre</w:t>
            </w:r>
          </w:p>
        </w:tc>
      </w:tr>
      <w:tr>
        <w:tc>
          <w:tcPr>
            <w:tcW w:type="dxa" w:w="1928"/>
          </w:tcPr>
          <w:p>
            <w:pPr>
              <w:spacing w:after="40"/>
              <w:jc w:val="both"/>
            </w:pPr>
            <w:r/>
            <w:r>
              <w:rPr>
                <w:sz w:val="18"/>
              </w:rPr>
              <w:t>Prazo do projeto</w:t>
            </w:r>
          </w:p>
        </w:tc>
        <w:tc>
          <w:tcPr>
            <w:tcW w:type="dxa" w:w="2835"/>
          </w:tcPr>
          <w:p>
            <w:pPr>
              <w:spacing w:after="40"/>
              <w:jc w:val="both"/>
            </w:pPr>
            <w:r/>
            <w:r>
              <w:rPr>
                <w:sz w:val="18"/>
              </w:rPr>
              <w:t>Art.º 59.º, n.º 3, do anexo</w:t>
            </w:r>
          </w:p>
        </w:tc>
        <w:tc>
          <w:tcPr>
            <w:tcW w:type="dxa" w:w="4025"/>
          </w:tcPr>
          <w:p>
            <w:pPr>
              <w:spacing w:after="40"/>
              <w:jc w:val="both"/>
            </w:pPr>
            <w:r/>
            <w:r>
              <w:rPr>
                <w:sz w:val="18"/>
              </w:rPr>
              <w:t>Cinco dias úteis para a recolha pelo detentor</w:t>
            </w:r>
          </w:p>
        </w:tc>
      </w:tr>
    </w:tbl>
    <w:p>
      <w:pPr>
        <w:spacing w:after="80"/>
      </w:pPr>
    </w:p>
    <w:p>
      <w:pPr>
        <w:spacing w:after="120"/>
      </w:pPr>
      <w:r>
        <w:rPr>
          <w:b w:val="0"/>
          <w:i w:val="0"/>
          <w:sz w:val="21"/>
        </w:rPr>
        <w:t>Os prazos são, portanto, quatro e não coincidem: oito dias de permanência mínima, quinze dias para a presunção de abandono, dez dias no mínimo proposto pelo projeto de RGAC e cinco dias úteis no artigo do projeto em análise.</w:t>
      </w:r>
    </w:p>
    <w:p>
      <w:pPr>
        <w:spacing w:before="240" w:after="80"/>
      </w:pPr>
      <w:r>
        <w:rPr>
          <w:b/>
          <w:color w:val="1F3B63"/>
          <w:sz w:val="22"/>
        </w:rPr>
        <w:t>4.3. A sede da matéria no diploma</w:t>
      </w:r>
    </w:p>
    <w:p>
      <w:pPr>
        <w:spacing w:after="120"/>
      </w:pPr>
      <w:r>
        <w:rPr>
          <w:b w:val="0"/>
          <w:i w:val="0"/>
          <w:sz w:val="21"/>
        </w:rPr>
        <w:t>O artigo está no Título II, «Requisitos de exercício», Capítulo II, «Requisitos especiais de exercício», Secção III, «Atividade pecuária», Subsecção IV, «Medidas Administrativas», entre o artigo das medidas administrativas e o das sanções acessórias. Foi aí colocado como medida de polícia do licenciamento pecuário: o animal errante é sintoma de incumprimento do dever de contenção, que é condição de exercício pela al. j) do n.º 1 do art.º 54.º, e o n.º 4 do art.º 59.º condiciona a devolução à verificação de que a exploração dispõe de condições que previnam nova fuga.</w:t>
      </w:r>
    </w:p>
    <w:p>
      <w:pPr>
        <w:spacing w:after="120"/>
      </w:pPr>
      <w:r>
        <w:rPr>
          <w:b w:val="0"/>
          <w:i w:val="0"/>
          <w:sz w:val="21"/>
        </w:rPr>
        <w:t>O artigo foi inserido por inteiro em 23 de setembro de 2026, em nome de «Utilizador Convidado», no conjunto de cerca de noventa inserções dessa data, na véspera da reunião de 24 de setembro. O seu próprio autor deixou-lhe um comentário ancorado ao n.º 1: «Qual é a entidade competente?».</w:t>
      </w:r>
    </w:p>
    <w:p>
      <w:pPr>
        <w:spacing w:before="240" w:after="80"/>
      </w:pPr>
      <w:r>
        <w:rPr>
          <w:b/>
          <w:color w:val="1F3B63"/>
          <w:sz w:val="22"/>
        </w:rPr>
        <w:t>4.4. Onde o projeto toca os centros de recolha oficial</w:t>
      </w:r>
    </w:p>
    <w:p>
      <w:pPr>
        <w:pStyle w:val="ListBullet"/>
        <w:spacing w:after="60"/>
        <w:jc w:val="both"/>
      </w:pPr>
      <w:r>
        <w:rPr>
          <w:sz w:val="21"/>
        </w:rPr>
        <w:t>Pela omissão. O art.º 59.º não identifica instalação alguma, mas refere despesas de «alojamento» no n.º 3 e atribui ao município a determinação do destino no n.º 5. O município dispõe de uma única instalação de alojamento de animais, que é o centro de recolha oficial.</w:t>
      </w:r>
    </w:p>
    <w:p>
      <w:pPr>
        <w:pStyle w:val="ListBullet"/>
        <w:spacing w:after="60"/>
        <w:jc w:val="both"/>
      </w:pPr>
      <w:r>
        <w:rPr>
          <w:sz w:val="21"/>
        </w:rPr>
        <w:t>Pela terminologia. A subal. i) da al. c) do art.º 48.º define «Centro de Agrupamento» como «os locais, como centros de recolha, feiras e mercados […] onde são agrupados animais provenientes de diferentes explorações». A expressão «centros de recolha» é a mesma que o Decreto-Lei n.º 276/2001 usa para o canil e o gatil municipais. A definição é herdada do art.º 2.º do Decreto-Lei n.º 81/2013, pelo que a coincidência não é nova; novo é o contacto, porque nada mandava, até agora, animais pecuários para a mão do município. Na pronúncia, basta a nota de que não são a mesma realidade.</w:t>
      </w:r>
    </w:p>
    <w:p>
      <w:pPr>
        <w:pStyle w:val="ListBullet"/>
        <w:spacing w:after="60"/>
        <w:jc w:val="both"/>
      </w:pPr>
      <w:r>
        <w:rPr>
          <w:sz w:val="21"/>
        </w:rPr>
        <w:t>Pela capacidade e pelos meios. A Lei n.º 27/2016 afetou aos centros de recolha oficial uma missão determinada, e é sobre ela que se construíram os apoios públicos. Uma função adicional sem meios, com o encargo a recair no município sempre que o detentor não seja identificado, que é a regra no gado deambulante, compromete a missão existente.</w:t>
      </w:r>
    </w:p>
    <w:p>
      <w:pPr>
        <w:spacing w:before="240" w:after="80"/>
      </w:pPr>
      <w:r>
        <w:rPr>
          <w:b/>
          <w:color w:val="1F3B63"/>
          <w:sz w:val="22"/>
        </w:rPr>
        <w:t>4.3-A. A Lei n.º 38/2026: os animais na proteção civil</w:t>
      </w:r>
    </w:p>
    <w:p>
      <w:pPr>
        <w:spacing w:after="120"/>
      </w:pPr>
      <w:r>
        <w:rPr>
          <w:b w:val="0"/>
          <w:i w:val="0"/>
          <w:sz w:val="21"/>
        </w:rPr>
        <w:t>Elemento novo e determinante para a dimensão deste ponto. A Lei n.º 38/2026, de 3 de agosto, em vigor desde 8 de agosto de 2026, integrou os animais no sistema de proteção civil, alterando a Lei de Bases da Proteção Civil, a Lei n.º 65/2007 e o regime do Sistema Integrado de Operações de Proteção e Socorro. Todas as citações que seguem são do texto consolidado, que identifica a Lei n.º 38/2026 como diploma alterador dos artigos em causa.</w:t>
      </w:r>
    </w:p>
    <w:p>
      <w:pPr>
        <w:spacing w:after="120"/>
      </w:pPr>
      <w:r>
        <w:rPr>
          <w:b w:val="0"/>
          <w:i w:val="0"/>
          <w:sz w:val="21"/>
        </w:rPr>
        <w:t>Primeiro, a finalidade da proteção civil passou a incluir os animais:</w:t>
      </w:r>
    </w:p>
    <w:p>
      <w:pPr>
        <w:spacing w:after="40"/>
        <w:ind w:left="454" w:right="227"/>
      </w:pPr>
      <w:r>
        <w:rPr>
          <w:i/>
          <w:sz w:val="19"/>
        </w:rPr>
        <w:t>«1 - A proteção civil é a atividade desenvolvida pelo Estado, Regiões Autónomas e autarquias locais, pelos cidadãos e por todas as entidades públicas e privadas com a finalidade de prevenir riscos coletivos inerentes a situações de acidente grave ou catástrofe, de atenuar os seus efeitos e proteger e socorrer as pessoas, os animais e bens em perigo quando aquelas situações ocorram.»</w:t>
      </w:r>
    </w:p>
    <w:p>
      <w:pPr>
        <w:spacing w:after="160"/>
        <w:ind w:left="454"/>
      </w:pPr>
      <w:r>
        <w:rPr>
          <w:color w:val="555555"/>
          <w:sz w:val="17"/>
        </w:rPr>
        <w:t>n.º 1 do art.º 1.º da Lei n.º 27/2006, de 3 de julho, na redação da Lei n.º 38/2026.</w:t>
      </w:r>
    </w:p>
    <w:p>
      <w:pPr>
        <w:spacing w:after="120"/>
      </w:pPr>
      <w:r>
        <w:rPr>
          <w:b w:val="0"/>
          <w:i w:val="0"/>
          <w:sz w:val="21"/>
        </w:rPr>
        <w:t>Segundo, foi criado um domínio de atuação próprio, em alínea autónoma e paralela à das populações:</w:t>
      </w:r>
    </w:p>
    <w:p>
      <w:pPr>
        <w:spacing w:after="40"/>
        <w:ind w:left="454" w:right="227"/>
      </w:pPr>
      <w:r>
        <w:rPr>
          <w:i/>
          <w:sz w:val="19"/>
        </w:rPr>
        <w:t>«e) Planeamento de soluções de emergência, visando a busca, o salvamento, a prestação de socorro e de assistência, bem como a evacuação, alojamento e abastecimento dos animais»</w:t>
      </w:r>
    </w:p>
    <w:p>
      <w:pPr>
        <w:spacing w:after="160"/>
        <w:ind w:left="454"/>
      </w:pPr>
      <w:r>
        <w:rPr>
          <w:color w:val="555555"/>
          <w:sz w:val="17"/>
        </w:rPr>
        <w:t>al. e) do n.º 2 do art.º 4.º da Lei n.º 27/2006, na redação da Lei n.º 38/2026.</w:t>
      </w:r>
    </w:p>
    <w:p>
      <w:pPr>
        <w:spacing w:after="120"/>
      </w:pPr>
      <w:r>
        <w:rPr>
          <w:b w:val="0"/>
          <w:i w:val="0"/>
          <w:sz w:val="21"/>
        </w:rPr>
        <w:t>Terceiro, e é o que mais releva para este ponto, o mesmo domínio foi fixado ao nível municipal, com simulacros:</w:t>
      </w:r>
    </w:p>
    <w:p>
      <w:pPr>
        <w:spacing w:after="40"/>
        <w:ind w:left="454" w:right="227"/>
      </w:pPr>
      <w:r>
        <w:rPr>
          <w:i/>
          <w:sz w:val="19"/>
        </w:rPr>
        <w:t>«e) Planeamento de soluções de emergência, visando a busca, o salvamento a prestação de socorro e de assistência, bem como a evacuação, alojamento e abastecimento dos animais presentes no município, incluindo a realização de simulacros»</w:t>
      </w:r>
    </w:p>
    <w:p>
      <w:pPr>
        <w:spacing w:after="160"/>
        <w:ind w:left="454"/>
      </w:pPr>
      <w:r>
        <w:rPr>
          <w:color w:val="555555"/>
          <w:sz w:val="17"/>
        </w:rPr>
        <w:t>al. e) do n.º 2 do art.º 2.º da Lei n.º 65/2007, de 12 de novembro, na redação da Lei n.º 38/2026.</w:t>
      </w:r>
    </w:p>
    <w:p>
      <w:pPr>
        <w:spacing w:after="120"/>
      </w:pPr>
      <w:r>
        <w:rPr>
          <w:b w:val="0"/>
          <w:i w:val="0"/>
          <w:sz w:val="21"/>
        </w:rPr>
        <w:t>Quarto, a composição da comissão municipal de proteção civil passou a incluir a autoridade sanitária veterinária concelhia e as entidades com atividade no alojamento de animais:</w:t>
      </w:r>
    </w:p>
    <w:p>
      <w:pPr>
        <w:spacing w:after="40"/>
        <w:ind w:left="454" w:right="227"/>
      </w:pPr>
      <w:r>
        <w:rPr>
          <w:i/>
          <w:sz w:val="19"/>
        </w:rPr>
        <w:t>«j) Um representante da autoridade sanitária veterinária concelhia; k) Representantes de entidades legalmente constituídas no âmbito da busca, salvamento, prestação de socorro, assistência, evacuação, alojamento ou abastecimento de animais, reconhecidos pelo município»</w:t>
      </w:r>
    </w:p>
    <w:p>
      <w:pPr>
        <w:spacing w:after="160"/>
        <w:ind w:left="454"/>
      </w:pPr>
      <w:r>
        <w:rPr>
          <w:color w:val="555555"/>
          <w:sz w:val="17"/>
        </w:rPr>
        <w:t>als. j) e k) do art.º 41.º da Lei n.º 27/2006, na redação da Lei n.º 38/2026.</w:t>
      </w:r>
    </w:p>
    <w:p>
      <w:pPr>
        <w:spacing w:after="120"/>
      </w:pPr>
      <w:r>
        <w:rPr>
          <w:b w:val="0"/>
          <w:i w:val="0"/>
          <w:sz w:val="21"/>
        </w:rPr>
        <w:t>Quinto, no teatro de operações foi criada uma zona dedicada:</w:t>
      </w:r>
    </w:p>
    <w:p>
      <w:pPr>
        <w:spacing w:after="40"/>
        <w:ind w:left="454" w:right="227"/>
      </w:pPr>
      <w:r>
        <w:rPr>
          <w:i/>
          <w:sz w:val="19"/>
        </w:rPr>
        <w:t>«d) Uma zona de concentração de acolhimento de animais, onde se localizam temporariamente os meios e recursos disponíveis e se mantém um sistema de apoio logístico à acomodação, salvamento e triagem de animais.»</w:t>
      </w:r>
    </w:p>
    <w:p>
      <w:pPr>
        <w:spacing w:after="160"/>
        <w:ind w:left="454"/>
      </w:pPr>
      <w:r>
        <w:rPr>
          <w:color w:val="555555"/>
          <w:sz w:val="17"/>
        </w:rPr>
        <w:t>al. d) do art.º 13.º do Decreto-Lei n.º 90-A/2022, de 30 de dezembro, na redação da Lei n.º 38/2026.</w:t>
      </w:r>
    </w:p>
    <w:p>
      <w:pPr>
        <w:spacing w:after="120"/>
      </w:pPr>
      <w:r>
        <w:rPr>
          <w:b w:val="0"/>
          <w:i w:val="0"/>
          <w:color w:val="555555"/>
          <w:sz w:val="19"/>
        </w:rPr>
        <w:t>Nota de designação: a expressão legal é «zona de concentração de acolhimento de animais». A imprensa tem escrito «zona de concentração para alojamento de animais»; não é a redação do diploma.</w:t>
      </w:r>
    </w:p>
    <w:p>
      <w:pPr>
        <w:spacing w:before="240" w:after="80"/>
      </w:pPr>
      <w:r>
        <w:rPr>
          <w:b/>
          <w:color w:val="1F3B63"/>
          <w:sz w:val="22"/>
        </w:rPr>
        <w:t>4.3-B. A convergência dos dois deveres</w:t>
      </w:r>
    </w:p>
    <w:p>
      <w:pPr>
        <w:spacing w:after="120"/>
      </w:pPr>
      <w:r>
        <w:rPr>
          <w:b w:val="0"/>
          <w:i w:val="0"/>
          <w:sz w:val="21"/>
        </w:rPr>
        <w:t>Três consequências, por ordem de importância para a pronúncia.</w:t>
      </w:r>
    </w:p>
    <w:p>
      <w:pPr>
        <w:pStyle w:val="ListBullet"/>
        <w:spacing w:after="60"/>
        <w:jc w:val="both"/>
      </w:pPr>
      <w:r>
        <w:rPr>
          <w:sz w:val="21"/>
        </w:rPr>
        <w:t>As normas são espécie-neutras. Falam em «os animais» e «os animais presentes no município», sem distinguir animais de companhia de espécies pecuárias. O equídeo, o bovino e o leporídeo estão abrangidos.</w:t>
      </w:r>
    </w:p>
    <w:p>
      <w:pPr>
        <w:pStyle w:val="ListBullet"/>
        <w:spacing w:after="60"/>
        <w:jc w:val="both"/>
      </w:pPr>
      <w:r>
        <w:rPr>
          <w:sz w:val="21"/>
        </w:rPr>
        <w:t>O alojamento é expressamente um dos atos planeados, e não um efeito colateral do salvamento. A alínea refere a «evacuação, alojamento e abastecimento», e o regime das operações prevê uma zona dedicada à acomodação e triagem.</w:t>
      </w:r>
    </w:p>
    <w:p>
      <w:pPr>
        <w:pStyle w:val="ListBullet"/>
        <w:spacing w:after="60"/>
        <w:jc w:val="both"/>
      </w:pPr>
      <w:r>
        <w:rPr>
          <w:sz w:val="21"/>
        </w:rPr>
        <w:t>O dever é municipal e já é exigível desde 8 de agosto de 2026, com obrigação de simulacros.</w:t>
      </w:r>
    </w:p>
    <w:p>
      <w:pPr>
        <w:spacing w:after="120"/>
      </w:pPr>
      <w:r>
        <w:rPr>
          <w:b w:val="0"/>
          <w:i w:val="0"/>
          <w:sz w:val="21"/>
        </w:rPr>
        <w:t>Daqui resulta o argumento central deste ponto, e não precisa de ser apresentado como crítica ao projeto. O município já está obrigado a planear o alojamento de animais de qualquer espécie em emergência. Se lhe acrescer a recolha corrente de animais errantes de espécie pecuária, por via do art.º 59.º do anexo, os dois deveres convergem na mesma necessidade física, que é um lugar onde alojar estas espécies sob responsabilidade municipal. Para nenhum dos dois existe hoje norma de bem-estar aplicável, pelas razões do ponto 4.4-A-1.</w:t>
      </w:r>
    </w:p>
    <w:p>
      <w:pPr>
        <w:spacing w:after="120"/>
      </w:pPr>
      <w:r>
        <w:rPr>
          <w:b w:val="0"/>
          <w:i w:val="0"/>
          <w:sz w:val="21"/>
        </w:rPr>
        <w:t>É também o que dá sentido útil à série de Avisos do ponto 4.6: o compartimento para outras espécies, requisito mínimo e item financiado entre 2018 e 2025 e ausente do Aviso n.º 1/2026, é precisamente a infraestrutura que serviria os dois deveres. A sua reposição deixa de ser uma preferência desta área para passar a ser instrumento de cumprimento de um dever legal que já existe.</w:t>
      </w:r>
    </w:p>
    <w:p>
      <w:pPr>
        <w:spacing w:after="120"/>
      </w:pPr>
      <w:r>
        <w:rPr>
          <w:b w:val="0"/>
          <w:i/>
          <w:sz w:val="21"/>
        </w:rPr>
        <w:t>Inferência, assinalada como tal: não há indício de que o projeto em análise tenha sido redigido em articulação com a Lei n.º 38/2026. O art.º 59.º não a refere, nem refere a proteção civil, e o diploma não consta do elenco de alterações. A convergência é, pelos elementos disponíveis, efeito e não desenho.</w:t>
      </w:r>
    </w:p>
    <w:p>
      <w:pPr>
        <w:spacing w:before="240" w:after="80"/>
      </w:pPr>
      <w:r>
        <w:rPr>
          <w:b/>
          <w:color w:val="1F3B63"/>
          <w:sz w:val="22"/>
        </w:rPr>
        <w:t>4.4-A. A guarda do animal: o artigo pressupõe-na, mas não a regula</w:t>
      </w:r>
    </w:p>
    <w:p>
      <w:pPr>
        <w:spacing w:after="120"/>
      </w:pPr>
      <w:r>
        <w:rPr>
          <w:b w:val="0"/>
          <w:i w:val="0"/>
          <w:sz w:val="21"/>
        </w:rPr>
        <w:t>O artigo 59.º descreve uma operação de guarda sem identificar a instalação em que ela decorre nem as condições a que obedece. A prova de que a guarda existe está no próprio artigo, no número que a factura:</w:t>
      </w:r>
    </w:p>
    <w:p>
      <w:pPr>
        <w:spacing w:after="40"/>
        <w:ind w:left="454" w:right="227"/>
      </w:pPr>
      <w:r>
        <w:rPr>
          <w:i/>
          <w:sz w:val="19"/>
        </w:rPr>
        <w:t>«3 – Quando seja possível identificar o proprietário ou o detentor do animal, a pessoa identificada é notificada para proceder à recolha do animal no prazo de cinco dias úteis, bem como ao pagamento das despesas realizadas com a retirada, captura, transporte, alojamento, alimentação, identificação e cuidados médico-veterinários, sem prejuízo da responsabilidade contraordenacional, civil ou criminal a que haja lugar.»</w:t>
      </w:r>
    </w:p>
    <w:p>
      <w:pPr>
        <w:spacing w:after="160"/>
        <w:ind w:left="454"/>
      </w:pPr>
      <w:r>
        <w:rPr>
          <w:color w:val="555555"/>
          <w:sz w:val="17"/>
        </w:rPr>
        <w:t>n.º 3 do art.º 59.º do anexo.</w:t>
      </w:r>
    </w:p>
    <w:p>
      <w:pPr>
        <w:spacing w:after="120"/>
      </w:pPr>
      <w:r>
        <w:rPr>
          <w:b w:val="0"/>
          <w:i w:val="0"/>
          <w:sz w:val="21"/>
        </w:rPr>
        <w:t>Há, portanto, alojamento, alimentação, identificação e cuidados médico-veterinários, imputados ao detentor. O prazo é de cinco dias úteis quando o detentor é identificado e, na hipótese do n.º 5, indeterminado, porque corre até o município decidir o destino. Em nenhum momento se diz onde o animal fica nem em que condições.</w:t>
      </w:r>
    </w:p>
    <w:p>
      <w:pPr>
        <w:spacing w:after="120"/>
      </w:pPr>
      <w:r>
        <w:rPr>
          <w:b w:val="0"/>
          <w:i w:val="0"/>
          <w:sz w:val="21"/>
        </w:rPr>
        <w:t>Advertência de leitura, para que o argumento não seja mal construído. O n.º 4 não serve este ponto. As condições que ali figuram são condições da restituição e dizem respeito à exploração que vai receber o animal de volta, não à entidade que o guarda:</w:t>
      </w:r>
    </w:p>
    <w:p>
      <w:pPr>
        <w:spacing w:after="40"/>
        <w:ind w:left="454" w:right="227"/>
      </w:pPr>
      <w:r>
        <w:rPr>
          <w:i/>
          <w:sz w:val="19"/>
        </w:rPr>
        <w:t>«4 – O animal só pode ser restituído ao respetivo detentor e reintroduzido na exploração pecuária de origem após a regularização da sua identificação e registo, o cumprimento das medidas sanitárias e de bem-estar animal determinadas pela autoridade competente e a verificação de que a exploração dispõe de condições adequadas de alojamento e contenção que previnam nova fuga ou deambulação.»</w:t>
      </w:r>
    </w:p>
    <w:p>
      <w:pPr>
        <w:spacing w:after="160"/>
        <w:ind w:left="454"/>
      </w:pPr>
      <w:r>
        <w:rPr>
          <w:color w:val="555555"/>
          <w:sz w:val="17"/>
        </w:rPr>
        <w:t>n.º 4 do art.º 59.º do anexo.</w:t>
      </w:r>
    </w:p>
    <w:p>
      <w:pPr>
        <w:spacing w:after="120"/>
      </w:pPr>
      <w:r>
        <w:rPr>
          <w:b w:val="0"/>
          <w:i w:val="0"/>
          <w:sz w:val="21"/>
        </w:rPr>
        <w:t>O contraste é, ainda assim, útil, e pode ser invocado sem imputar defeito ao projeto: o artigo exige verificação da adequação do alojamento do lado que recebe o animal de volta, e não fixa requisito algum para o lado que o detém no intervalo. A assimetria mostra que a adequação do alojamento é preocupação presente no artigo; apenas não foi estendida ao período de guarda.</w:t>
      </w:r>
    </w:p>
    <w:p>
      <w:pPr>
        <w:spacing w:after="120"/>
      </w:pPr>
      <w:r>
        <w:rPr>
          <w:b w:val="0"/>
          <w:i w:val="0"/>
          <w:sz w:val="21"/>
        </w:rPr>
        <w:t>O n.º 5, esse sim, remete expressamente para normas de bem-estar animal, mas quanto ao destino:</w:t>
      </w:r>
    </w:p>
    <w:p>
      <w:pPr>
        <w:spacing w:after="40"/>
        <w:ind w:left="454" w:right="227"/>
      </w:pPr>
      <w:r>
        <w:rPr>
          <w:i/>
          <w:sz w:val="19"/>
        </w:rPr>
        <w:t>«5 – Não sendo conhecido o proprietário ou detentor, não sendo o animal reclamado por qualquer deles no prazo referido no número anterior ou declarando qualquer deles que não pretende recebê-lo, o destino do animal é determinado pelo município territorialmente competente, em articulação com a DGAV, observadas as normas relativas à identificação, registo, circulação, sanidade e bem-estar animal.»</w:t>
      </w:r>
    </w:p>
    <w:p>
      <w:pPr>
        <w:spacing w:after="160"/>
        <w:ind w:left="454"/>
      </w:pPr>
      <w:r>
        <w:rPr>
          <w:color w:val="555555"/>
          <w:sz w:val="17"/>
        </w:rPr>
        <w:t>n.º 5 do art.º 59.º do anexo.</w:t>
      </w:r>
    </w:p>
    <w:p>
      <w:pPr>
        <w:spacing w:after="120"/>
      </w:pPr>
      <w:r>
        <w:rPr>
          <w:b w:val="0"/>
          <w:i w:val="0"/>
          <w:sz w:val="21"/>
        </w:rPr>
        <w:t>É esta a remissão a explorar: a decisão de destino cabe ao município em articulação com a DGAV e deve observar normas de bem-estar animal. Quanto a estas espécies, e neste contexto, essas normas não existem.</w:t>
      </w:r>
    </w:p>
    <w:p>
      <w:pPr>
        <w:spacing w:before="240" w:after="80"/>
      </w:pPr>
      <w:r>
        <w:rPr>
          <w:b/>
          <w:color w:val="1F3B63"/>
          <w:sz w:val="22"/>
        </w:rPr>
        <w:t>4.4-A-1. Por que razão não existem: a dupla exclusão</w:t>
      </w:r>
    </w:p>
    <w:p>
      <w:pPr>
        <w:spacing w:after="120"/>
      </w:pPr>
      <w:r>
        <w:rPr>
          <w:b w:val="0"/>
          <w:i w:val="0"/>
          <w:sz w:val="21"/>
        </w:rPr>
        <w:t>Para o cão e o gato as normas de alojamento existem, no Decreto-Lei n.º 276/2001 e na Portaria n.º 146/2017. Para as espécies pecuárias não existem, e por duas exclusões sucessivas.</w:t>
      </w:r>
    </w:p>
    <w:p>
      <w:pPr>
        <w:pStyle w:val="ListBullet"/>
        <w:spacing w:after="60"/>
        <w:jc w:val="both"/>
      </w:pPr>
      <w:r>
        <w:rPr>
          <w:sz w:val="21"/>
        </w:rPr>
        <w:t>O n.º 2 do art.º 1.º do Decreto-Lei n.º 276/2001 exclui do âmbito daquele diploma «as espécies da fauna selvagem autóctone e exótica e os seus descendentes criados em cativeiro, objeto de regulamentação específica, e os touros de lide e as espécies de pecuária».</w:t>
      </w:r>
    </w:p>
    <w:p>
      <w:pPr>
        <w:pStyle w:val="ListBullet"/>
        <w:spacing w:after="60"/>
        <w:jc w:val="both"/>
      </w:pPr>
      <w:r>
        <w:rPr>
          <w:sz w:val="21"/>
        </w:rPr>
        <w:t>O art.º 2.º da Portaria n.º 146/2017 circunscreve o regime dos centros de recolha às espécies da Parte A do Anexo I do Regulamento (UE) 2016/429, ou seja, ao cão, ao gato e ao furão.</w:t>
      </w:r>
    </w:p>
    <w:p>
      <w:pPr>
        <w:spacing w:after="120"/>
      </w:pPr>
      <w:r>
        <w:rPr>
          <w:b w:val="0"/>
          <w:i w:val="0"/>
          <w:sz w:val="21"/>
        </w:rPr>
        <w:t>O resultado é que o animal de espécie pecuária guardado numa instalação de recolha está fora do diploma que regula o alojamento de animais e fora da portaria que regula o funcionamento dos centros de recolha.</w:t>
      </w:r>
    </w:p>
    <w:p>
      <w:pPr>
        <w:spacing w:before="240" w:after="80"/>
      </w:pPr>
      <w:r>
        <w:rPr>
          <w:b/>
          <w:color w:val="1F3B63"/>
          <w:sz w:val="22"/>
        </w:rPr>
        <w:t>4.4-B. Os critérios a fixar</w:t>
      </w:r>
    </w:p>
    <w:p>
      <w:pPr>
        <w:spacing w:after="120"/>
      </w:pPr>
      <w:r>
        <w:rPr>
          <w:b w:val="0"/>
          <w:i w:val="0"/>
          <w:sz w:val="21"/>
        </w:rPr>
        <w:t>Conteúdo mínimo de uma norma técnica de alojamento destas espécies numa instalação de recolha.</w:t>
      </w:r>
    </w:p>
    <w:p>
      <w:pPr>
        <w:pStyle w:val="ListBullet"/>
        <w:spacing w:after="60"/>
        <w:jc w:val="both"/>
      </w:pPr>
      <w:r>
        <w:rPr>
          <w:sz w:val="21"/>
        </w:rPr>
        <w:t>Áreas e dimensões por espécie e por fase de desenvolvimento.</w:t>
      </w:r>
    </w:p>
    <w:p>
      <w:pPr>
        <w:pStyle w:val="ListBullet"/>
        <w:spacing w:after="60"/>
        <w:jc w:val="both"/>
      </w:pPr>
      <w:r>
        <w:rPr>
          <w:sz w:val="21"/>
        </w:rPr>
        <w:t>Separação entre espécies incompatíveis, com isolamento visual, sonoro e olfativo entre presas e predadores. O ambiente acústico de um canil é, em si, um fator de stress crónico para espécies presa.</w:t>
      </w:r>
    </w:p>
    <w:p>
      <w:pPr>
        <w:pStyle w:val="ListBullet"/>
        <w:spacing w:after="60"/>
        <w:jc w:val="both"/>
      </w:pPr>
      <w:r>
        <w:rPr>
          <w:sz w:val="21"/>
        </w:rPr>
        <w:t>Quarentena e biossegurança à entrada. O animal chega sem identificação e sem exploração de origem conhecida, pelo que o seu estado sanitário é indeterminado.</w:t>
      </w:r>
    </w:p>
    <w:p>
      <w:pPr>
        <w:pStyle w:val="ListBullet"/>
        <w:spacing w:after="60"/>
        <w:jc w:val="both"/>
      </w:pPr>
      <w:r>
        <w:rPr>
          <w:sz w:val="21"/>
        </w:rPr>
        <w:t>Alimentação e abeberamento próprios da espécie, incluindo regime de forragem para os herbívoros.</w:t>
      </w:r>
    </w:p>
    <w:p>
      <w:pPr>
        <w:pStyle w:val="ListBullet"/>
        <w:spacing w:after="60"/>
        <w:jc w:val="both"/>
      </w:pPr>
      <w:r>
        <w:rPr>
          <w:sz w:val="21"/>
        </w:rPr>
        <w:t>Meios de contenção e de maneio seguro, matéria em que o risco para o pessoal difere do dos animais de companhia.</w:t>
      </w:r>
    </w:p>
    <w:p>
      <w:pPr>
        <w:pStyle w:val="ListBullet"/>
        <w:spacing w:after="60"/>
        <w:jc w:val="both"/>
      </w:pPr>
      <w:r>
        <w:rPr>
          <w:sz w:val="21"/>
        </w:rPr>
        <w:t>Lotação máxima determinada pelos recursos efetivos da instalação, e não apenas pela área construída.</w:t>
      </w:r>
    </w:p>
    <w:p>
      <w:pPr>
        <w:spacing w:after="120"/>
      </w:pPr>
      <w:r>
        <w:rPr>
          <w:b w:val="0"/>
          <w:i w:val="0"/>
          <w:sz w:val="21"/>
        </w:rPr>
        <w:t>Nota de dimensionamento, com consequência prática imediata: o compartimento financiado tem área mínima coberta de três metros quadrados por animal. É medida pensada para espécies de pequeno porte. Para um equídeo ou um bovino é insuficiente, pelo que o valor dos Avisos não pode ser transposto sem revisão. Para ordem de grandeza: o código de boas práticas galês referido no ponto 4.9 recomenda, para um cavalo, box de 3,65 m por 3,65 m, ou seja cerca de treze metros quadrados, e 4,5 m² de área coberta por burro.</w:t>
      </w:r>
    </w:p>
    <w:p>
      <w:pPr>
        <w:spacing w:before="240" w:after="80"/>
      </w:pPr>
      <w:r>
        <w:rPr>
          <w:b/>
          <w:color w:val="1F3B63"/>
          <w:sz w:val="22"/>
        </w:rPr>
        <w:t>4.4-C. A instalação de destino determina o regime do animal</w:t>
      </w:r>
    </w:p>
    <w:p>
      <w:pPr>
        <w:spacing w:after="120"/>
      </w:pPr>
      <w:r>
        <w:rPr>
          <w:b w:val="0"/>
          <w:i w:val="0"/>
          <w:sz w:val="21"/>
        </w:rPr>
        <w:t>O artigo 59.º não identifica instalação alguma, e dessa omissão resulta uma consequência material, porque os dois regimes possíveis conduzem a destinos opostos.</w:t>
      </w:r>
    </w:p>
    <w:p>
      <w:pPr>
        <w:spacing w:after="120"/>
      </w:pPr>
      <w:r>
        <w:rPr>
          <w:b w:val="0"/>
          <w:i w:val="0"/>
          <w:sz w:val="21"/>
        </w:rPr>
        <w:t>Se o animal for entregue a um centro de recolha oficial, aplica-se a Lei n.º 27/2016, que é espécie-neutra pelas razões do ponto 4.5: a presunção de abandono do n.º 1 do seu art.º 3.º, a esterilização obrigatória, o encaminhamento para adoção e a proibição do abate como forma de controlo da população.</w:t>
      </w:r>
    </w:p>
    <w:p>
      <w:pPr>
        <w:spacing w:after="120"/>
      </w:pPr>
      <w:r>
        <w:rPr>
          <w:b w:val="0"/>
          <w:i w:val="0"/>
          <w:sz w:val="21"/>
        </w:rPr>
        <w:t>Se o animal seguir a lógica da apreensão em exploração, o n.º 4 do art.º 57.º do anexo aponta em sentido inverso:</w:t>
      </w:r>
    </w:p>
    <w:p>
      <w:pPr>
        <w:spacing w:after="40"/>
        <w:ind w:left="454" w:right="227"/>
      </w:pPr>
      <w:r>
        <w:rPr>
          <w:i/>
          <w:sz w:val="19"/>
        </w:rPr>
        <w:t>«4 - Caso não existam condições técnicas ou sanitárias para a manutenção, ou na impossibilidade de ser encontrado um fiel depositário adequado, os animais apreendidos numa exploração pecuária devem ser: a) Conduzidos ao matadouro e abatidos, caso sejam aprovados para consumo; ou b) Destruídos nos termos da legislação em vigor, se não for possível assegurar a segurança sanitária dos animais, na perspetiva da sua aprovação para consumo.»</w:t>
      </w:r>
    </w:p>
    <w:p>
      <w:pPr>
        <w:spacing w:after="160"/>
        <w:ind w:left="454"/>
      </w:pPr>
      <w:r>
        <w:rPr>
          <w:color w:val="555555"/>
          <w:sz w:val="17"/>
        </w:rPr>
        <w:t>n.º 4 do art.º 57.º do anexo.</w:t>
      </w:r>
    </w:p>
    <w:p>
      <w:pPr>
        <w:spacing w:after="120"/>
      </w:pPr>
      <w:r>
        <w:rPr>
          <w:b w:val="0"/>
          <w:i w:val="0"/>
          <w:sz w:val="21"/>
        </w:rPr>
        <w:t>Acresce que a aprovação para consumo é, no caso do animal errante, improvável: sem identificação não é possível demonstrar o cumprimento de intervalos de segurança, pelo que o destino realista é a destruição como subproduto. A escolha da instalação não é, por isso, uma questão de arrumação administrativa: decide se o animal saudável é esterilizado e encaminhado para adoção ou se é occisionado.</w:t>
      </w:r>
    </w:p>
    <w:p>
      <w:pPr>
        <w:spacing w:before="240" w:after="80"/>
      </w:pPr>
      <w:r>
        <w:rPr>
          <w:b/>
          <w:color w:val="1F3B63"/>
          <w:sz w:val="22"/>
        </w:rPr>
        <w:t>4.4-D. A qualificação da própria instalação</w:t>
      </w:r>
    </w:p>
    <w:p>
      <w:pPr>
        <w:spacing w:after="120"/>
      </w:pPr>
      <w:r>
        <w:rPr>
          <w:b w:val="0"/>
          <w:i w:val="0"/>
          <w:sz w:val="21"/>
        </w:rPr>
        <w:t>A al. b) do art.º 48.º do anexo inclui o equídeo e o leporídeo na definição de animal de espécie pecuária, e os limiares do diploma assentam em cabeças normais, nos termos da al. f) do mesmo artigo. O Anexo V, que fixaria as equivalências, contém a epígrafe, a remissão e uma nota, mas não a tabela. Não é por isso possível, nesta versão, determinar a partir de que efetivo uma instalação que acolha animais recolhidos passaria a exercer atividade pecuária sujeita a título.</w:t>
      </w:r>
    </w:p>
    <w:p>
      <w:pPr>
        <w:spacing w:after="120"/>
      </w:pPr>
      <w:r>
        <w:rPr>
          <w:b w:val="0"/>
          <w:i w:val="0"/>
          <w:sz w:val="21"/>
        </w:rPr>
        <w:t>A questão não é teórica, e está documentada em fonte parlamentar:</w:t>
      </w:r>
    </w:p>
    <w:p>
      <w:pPr>
        <w:spacing w:after="40"/>
        <w:ind w:left="454" w:right="227"/>
      </w:pPr>
      <w:r>
        <w:rPr>
          <w:i/>
          <w:sz w:val="19"/>
        </w:rPr>
        <w:t>«na actual realidade, para se proceder à criação de um santuário de animais de quinta, é obrigatória a inscrição como exploração de animais de pecuária»</w:t>
      </w:r>
    </w:p>
    <w:p>
      <w:pPr>
        <w:spacing w:after="160"/>
        <w:ind w:left="454"/>
      </w:pPr>
      <w:r>
        <w:rPr>
          <w:color w:val="555555"/>
          <w:sz w:val="17"/>
        </w:rPr>
        <w:t>Projeto de Resolução n.º 82/XIV/1.ª, exposição de motivos.</w:t>
      </w:r>
    </w:p>
    <w:p>
      <w:pPr>
        <w:spacing w:after="120"/>
      </w:pPr>
      <w:r>
        <w:rPr>
          <w:b w:val="0"/>
          <w:i w:val="0"/>
          <w:sz w:val="21"/>
        </w:rPr>
        <w:t>O mesmo documento liga esta ausência de infraestrutura ao destino dos animais:</w:t>
      </w:r>
    </w:p>
    <w:p>
      <w:pPr>
        <w:spacing w:after="40"/>
        <w:ind w:left="454" w:right="227"/>
      </w:pPr>
      <w:r>
        <w:rPr>
          <w:i/>
          <w:sz w:val="19"/>
        </w:rPr>
        <w:t>«Nestes casos, a autoridade administrativa deveria determinar a apreensão dos animais com subsequente designação de fiel depositário – tal não acontece por inexistência de infraestruturas para o efeito, o que deriva no abate desnecessário e desadequado de animais saudáveis»</w:t>
      </w:r>
    </w:p>
    <w:p>
      <w:pPr>
        <w:spacing w:after="160"/>
        <w:ind w:left="454"/>
      </w:pPr>
      <w:r>
        <w:rPr>
          <w:color w:val="555555"/>
          <w:sz w:val="17"/>
        </w:rPr>
        <w:t>Projeto de Resolução n.º 82/XIV/1.ª, exposição de motivos.</w:t>
      </w:r>
    </w:p>
    <w:p>
      <w:pPr>
        <w:spacing w:after="120"/>
      </w:pPr>
      <w:r>
        <w:rPr>
          <w:b w:val="0"/>
          <w:i w:val="0"/>
          <w:color w:val="555555"/>
          <w:sz w:val="19"/>
        </w:rPr>
        <w:t>O projeto refere o caso dos 104 cavalos apreendidos nos concelhos de Aljustrel e de Ferreira do Alentejo, que nove dias depois da apreensão permaneciam nas mesmas explorações. Trata-se de um projeto de resolução de 2019, citado como documentação do problema e não como direito vigente; não foi confirmado se foi aprovado.</w:t>
      </w:r>
    </w:p>
    <w:p>
      <w:pPr>
        <w:spacing w:before="240" w:after="80"/>
      </w:pPr>
      <w:r>
        <w:rPr>
          <w:b/>
          <w:color w:val="1F3B63"/>
          <w:sz w:val="22"/>
        </w:rPr>
        <w:t>4.4-E. As despesas e os prazos</w:t>
      </w:r>
    </w:p>
    <w:p>
      <w:pPr>
        <w:spacing w:after="120"/>
      </w:pPr>
      <w:r>
        <w:rPr>
          <w:b w:val="0"/>
          <w:i w:val="0"/>
          <w:sz w:val="21"/>
        </w:rPr>
        <w:t>Dois elementos de execução com efeito direto sobre a instalação.</w:t>
      </w:r>
    </w:p>
    <w:p>
      <w:pPr>
        <w:spacing w:after="120"/>
      </w:pPr>
      <w:r>
        <w:rPr>
          <w:b w:val="0"/>
          <w:i w:val="0"/>
          <w:sz w:val="21"/>
        </w:rPr>
        <w:t>As despesas. O n.º 3 e o n.º 6 do art.º 59.º imputam-nas ao proprietário ou detentor identificado. O n.º 5 regula precisamente a hipótese em que este não é conhecido, e nessa hipótese o custo da permanência recai sobre quem detém materialmente o animal, isto é, sobre a instalação. É o elemento que determina o encargo real para a rede.</w:t>
      </w:r>
    </w:p>
    <w:p>
      <w:pPr>
        <w:spacing w:after="120"/>
      </w:pPr>
      <w:r>
        <w:rPr>
          <w:b w:val="0"/>
          <w:i w:val="0"/>
          <w:sz w:val="21"/>
        </w:rPr>
        <w:t>Os prazos. Aos quatro prazos do ponto 4.2 acresce que, recebendo a mesma instalação animais ao abrigo de regimes diferentes, correm em paralelo prazos de reclamação distintos sobre animais alojados no mesmo espaço: oito dias pelo n.º 1 do art.º 9.º do Decreto-Lei n.º 314/2003, quinze dias pelo n.º 1 do art.º 3.º da Lei n.º 27/2016 e cinco dias úteis pelo n.º 3 do art.º 59.º do anexo.</w:t>
      </w:r>
    </w:p>
    <w:p>
      <w:pPr>
        <w:spacing w:before="240" w:after="80"/>
      </w:pPr>
      <w:r>
        <w:rPr>
          <w:b/>
          <w:color w:val="1F3B63"/>
          <w:sz w:val="22"/>
        </w:rPr>
        <w:t>4.5. A base legal não é restritiva: a restrição está na portaria</w:t>
      </w:r>
    </w:p>
    <w:p>
      <w:pPr>
        <w:spacing w:after="120"/>
      </w:pPr>
      <w:r>
        <w:rPr>
          <w:b w:val="0"/>
          <w:i w:val="0"/>
          <w:sz w:val="21"/>
        </w:rPr>
        <w:t>A lei habilitante é espécie-neutra. A Lei n.º 27/2016, de 23 de agosto, intitula-se «Aprova medidas para a criação de uma rede de centros de recolha oficial de animais» e o seu art.º 1.º dispõe que «A presente lei aprova medidas para a criação de uma rede de centros de recolha oficial de animais e para a modernização dos serviços municipais de veterinária, e estabelece a proibição do abate de animais errantes como forma de controlo da população, privilegiando a esterilização». Em nenhum dos dois lugares a lei escreve «animais de companhia»: escreve «animais».</w:t>
      </w:r>
    </w:p>
    <w:p>
      <w:pPr>
        <w:spacing w:after="120"/>
      </w:pPr>
      <w:r>
        <w:rPr>
          <w:b w:val="0"/>
          <w:i w:val="0"/>
          <w:sz w:val="21"/>
        </w:rPr>
        <w:t>A restrição é introduzida pelo diploma de execução. O art.º 1.º da Portaria n.º 146/2017, de 26 de abril, define o objeto como a regulamentação da «criação de uma rede efetiva de centros de recolha oficial de animais de companhia», e o art.º 2.º fixa o âmbito:</w:t>
      </w:r>
    </w:p>
    <w:p>
      <w:pPr>
        <w:spacing w:after="40"/>
        <w:ind w:left="454" w:right="227"/>
      </w:pPr>
      <w:r>
        <w:rPr>
          <w:i/>
          <w:sz w:val="19"/>
        </w:rPr>
        <w:t>«A presente portaria aplica-se aos centros de recolha oficial (CRO) de animais de companhia e controlo das populações errantes desses animais, considerando-se como tais as espécies previstas na Parte A do Anexo I do Regulamento (UE) 2016/429, do Parlamento Europeu e do Conselho, de 9 de março.»</w:t>
      </w:r>
    </w:p>
    <w:p>
      <w:pPr>
        <w:spacing w:after="160"/>
        <w:ind w:left="454"/>
      </w:pPr>
      <w:r>
        <w:rPr>
          <w:color w:val="555555"/>
          <w:sz w:val="17"/>
        </w:rPr>
        <w:t>art.º 2.º da Portaria n.º 146/2017, de 26 de abril.</w:t>
      </w:r>
    </w:p>
    <w:p>
      <w:pPr>
        <w:spacing w:after="120"/>
      </w:pPr>
      <w:r>
        <w:rPr>
          <w:b w:val="0"/>
          <w:i w:val="0"/>
          <w:sz w:val="21"/>
        </w:rPr>
        <w:t>A delimitação opera, portanto, por remissão para a Parte A do Anexo I da Lei da Saúde Animal, que abrange o cão, o gato e o furão. Ficam fora as espécies da Parte B, entre elas os coelhos, os roedores e as aves, e ficam fora os equídeos e as demais espécies pecuárias.</w:t>
      </w:r>
    </w:p>
    <w:p>
      <w:pPr>
        <w:spacing w:after="120"/>
      </w:pPr>
      <w:r>
        <w:rPr>
          <w:b w:val="0"/>
          <w:i w:val="0"/>
          <w:sz w:val="21"/>
        </w:rPr>
        <w:t>Consequência relevante para a pronúncia: o estreitamento do âmbito dos centros de recolha oficial às três espécies da Parte A é obra de portaria, e não da lei. A sede da eventual ampliação é, por isso, regulamentar, e a competência de proposta cabe à área do bem-estar animal. Não depende deste diploma.</w:t>
      </w:r>
    </w:p>
    <w:p>
      <w:pPr>
        <w:spacing w:before="240" w:after="80"/>
      </w:pPr>
      <w:r>
        <w:rPr>
          <w:b/>
          <w:color w:val="1F3B63"/>
          <w:sz w:val="22"/>
        </w:rPr>
        <w:t>4.6. Os Avisos de financiamento, de 2018 a 2026</w:t>
      </w:r>
    </w:p>
    <w:p>
      <w:pPr>
        <w:spacing w:after="120"/>
      </w:pPr>
      <w:r>
        <w:rPr>
          <w:b w:val="0"/>
          <w:i w:val="0"/>
          <w:sz w:val="21"/>
        </w:rPr>
        <w:t>O alojamento de espécies diferentes do cão e do gato nos centros de recolha oficial não é uma hipótese teórica: foi requisito mínimo de construção e item financiado, de forma contínua, durante oito anos e sob duas entidades gestoras sucessivas.</w:t>
      </w:r>
    </w:p>
    <w:p>
      <w:pPr>
        <w:spacing w:after="120"/>
      </w:pPr>
      <w:r>
        <w:rPr>
          <w:b w:val="0"/>
          <w:i w:val="0"/>
          <w:sz w:val="21"/>
        </w:rPr>
        <w:t>O programa foi aprovado pelo Despacho n.º 3321/2018, publicado no Diário da República, ao abrigo do n.º 4 do art.º 2.º da Lei n.º 27/2016 e do art.º 227.º da Lei n.º 114/2017, de 29 de dezembro. O ponto 1 do seu anexo estabelecia:</w:t>
      </w:r>
    </w:p>
    <w:p>
      <w:pPr>
        <w:spacing w:after="40"/>
        <w:ind w:left="454" w:right="227"/>
      </w:pPr>
      <w:r>
        <w:rPr>
          <w:i/>
          <w:sz w:val="19"/>
        </w:rPr>
        <w:t>«a) Um CRO municipal deve possuir a capacidade mínima de alojamento para 15 cães/gatos e uma cela de isolamento, uma boxe para outros animais, bem como uma sala que permita realizar a esterilização e/ou tratamentos.»</w:t>
      </w:r>
    </w:p>
    <w:p>
      <w:pPr>
        <w:spacing w:after="160"/>
        <w:ind w:left="454"/>
      </w:pPr>
      <w:r>
        <w:rPr>
          <w:color w:val="555555"/>
          <w:sz w:val="17"/>
        </w:rPr>
        <w:t>al. a) do n.º 1 do anexo «Valores de referência e limites» ao Despacho n.º 3321/2018, publicado no Diário da República, 2.ª série, n.º 66, de 4 de abril de 2018.</w:t>
      </w:r>
    </w:p>
    <w:p>
      <w:pPr>
        <w:spacing w:after="120"/>
      </w:pPr>
      <w:r>
        <w:rPr>
          <w:b w:val="0"/>
          <w:i w:val="0"/>
          <w:sz w:val="21"/>
        </w:rPr>
        <w:t>A mesma formulação, e o correspondente item da tabela de apoios, mantiveram-se nos Avisos seguintes, com atualização apenas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tcPr>
          <w:p>
            <w:pPr>
              <w:spacing w:after="40"/>
            </w:pPr>
            <w:r/>
            <w:r>
              <w:rPr>
                <w:b/>
                <w:color w:val="1F3B63"/>
                <w:sz w:val="18"/>
              </w:rPr>
              <w:t>Aviso</w:t>
            </w:r>
          </w:p>
        </w:tc>
        <w:tc>
          <w:tcPr>
            <w:tcW w:type="dxa" w:w="1474"/>
          </w:tcPr>
          <w:p>
            <w:pPr>
              <w:spacing w:after="40"/>
            </w:pPr>
            <w:r/>
            <w:r>
              <w:rPr>
                <w:b/>
                <w:color w:val="1F3B63"/>
                <w:sz w:val="18"/>
              </w:rPr>
              <w:t>Entidade</w:t>
            </w:r>
          </w:p>
        </w:tc>
        <w:tc>
          <w:tcPr>
            <w:tcW w:type="dxa" w:w="3061"/>
          </w:tcPr>
          <w:p>
            <w:pPr>
              <w:spacing w:after="40"/>
            </w:pPr>
            <w:r/>
            <w:r>
              <w:rPr>
                <w:b/>
                <w:color w:val="1F3B63"/>
                <w:sz w:val="18"/>
              </w:rPr>
              <w:t>Requisito mínimo</w:t>
            </w:r>
          </w:p>
        </w:tc>
        <w:tc>
          <w:tcPr>
            <w:tcW w:type="dxa" w:w="1417"/>
          </w:tcPr>
          <w:p>
            <w:pPr>
              <w:spacing w:after="40"/>
            </w:pPr>
            <w:r/>
            <w:r>
              <w:rPr>
                <w:b/>
                <w:color w:val="1F3B63"/>
                <w:sz w:val="18"/>
              </w:rPr>
              <w:t>Valor do apoio</w:t>
            </w:r>
          </w:p>
        </w:tc>
      </w:tr>
      <w:tr>
        <w:tc>
          <w:tcPr>
            <w:tcW w:type="dxa" w:w="1701"/>
          </w:tcPr>
          <w:p>
            <w:pPr>
              <w:spacing w:after="40"/>
              <w:jc w:val="both"/>
            </w:pPr>
            <w:r/>
            <w:r>
              <w:rPr>
                <w:sz w:val="18"/>
              </w:rPr>
              <w:t>Despacho n.º 3321/2018</w:t>
            </w:r>
          </w:p>
        </w:tc>
        <w:tc>
          <w:tcPr>
            <w:tcW w:type="dxa" w:w="1474"/>
          </w:tcPr>
          <w:p>
            <w:pPr>
              <w:spacing w:after="40"/>
              <w:jc w:val="both"/>
            </w:pPr>
            <w:r/>
            <w:r>
              <w:rPr>
                <w:sz w:val="18"/>
              </w:rPr>
              <w:t>DGAL, DGAV e CCDR</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1/2021</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1/2022</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1/2023</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1/2025</w:t>
            </w:r>
          </w:p>
        </w:tc>
        <w:tc>
          <w:tcPr>
            <w:tcW w:type="dxa" w:w="1474"/>
          </w:tcPr>
          <w:p>
            <w:pPr>
              <w:spacing w:after="40"/>
              <w:jc w:val="both"/>
            </w:pPr>
            <w:r/>
            <w:r>
              <w:rPr>
                <w:sz w:val="18"/>
              </w:rPr>
              <w:t>DGAV-DBEA</w:t>
            </w:r>
          </w:p>
        </w:tc>
        <w:tc>
          <w:tcPr>
            <w:tcW w:type="dxa" w:w="3061"/>
          </w:tcPr>
          <w:p>
            <w:pPr>
              <w:spacing w:after="40"/>
              <w:jc w:val="both"/>
            </w:pPr>
            <w:r/>
            <w:r>
              <w:rPr>
                <w:sz w:val="18"/>
              </w:rPr>
              <w:t>«um compartimento para outras espécies»</w:t>
            </w:r>
          </w:p>
        </w:tc>
        <w:tc>
          <w:tcPr>
            <w:tcW w:type="dxa" w:w="1417"/>
          </w:tcPr>
          <w:p>
            <w:pPr>
              <w:spacing w:after="40"/>
              <w:jc w:val="both"/>
            </w:pPr>
            <w:r/>
            <w:r>
              <w:rPr>
                <w:sz w:val="18"/>
              </w:rPr>
              <w:t>1 537,02 € (3 m²/animal)</w:t>
            </w:r>
          </w:p>
        </w:tc>
      </w:tr>
      <w:tr>
        <w:tc>
          <w:tcPr>
            <w:tcW w:type="dxa" w:w="1701"/>
          </w:tcPr>
          <w:p>
            <w:pPr>
              <w:spacing w:after="40"/>
              <w:jc w:val="both"/>
            </w:pPr>
            <w:r/>
            <w:r>
              <w:rPr>
                <w:sz w:val="18"/>
              </w:rPr>
              <w:t>Aviso 1/2026</w:t>
            </w:r>
          </w:p>
        </w:tc>
        <w:tc>
          <w:tcPr>
            <w:tcW w:type="dxa" w:w="1474"/>
          </w:tcPr>
          <w:p>
            <w:pPr>
              <w:spacing w:after="40"/>
              <w:jc w:val="both"/>
            </w:pPr>
            <w:r/>
            <w:r>
              <w:rPr>
                <w:sz w:val="18"/>
              </w:rPr>
              <w:t>DGAV-DBEA</w:t>
            </w:r>
          </w:p>
        </w:tc>
        <w:tc>
          <w:tcPr>
            <w:tcW w:type="dxa" w:w="3061"/>
          </w:tcPr>
          <w:p>
            <w:pPr>
              <w:spacing w:after="40"/>
              <w:jc w:val="both"/>
            </w:pPr>
            <w:r/>
            <w:r>
              <w:rPr>
                <w:sz w:val="18"/>
              </w:rPr>
              <w:t>ausente</w:t>
            </w:r>
          </w:p>
        </w:tc>
        <w:tc>
          <w:tcPr>
            <w:tcW w:type="dxa" w:w="1417"/>
          </w:tcPr>
          <w:p>
            <w:pPr>
              <w:spacing w:after="40"/>
              <w:jc w:val="both"/>
            </w:pPr>
            <w:r/>
            <w:r>
              <w:rPr>
                <w:sz w:val="18"/>
              </w:rPr>
              <w:t>ausente</w:t>
            </w:r>
          </w:p>
        </w:tc>
      </w:tr>
    </w:tbl>
    <w:p>
      <w:pPr>
        <w:spacing w:after="80"/>
      </w:pPr>
    </w:p>
    <w:p>
      <w:pPr>
        <w:spacing w:after="120"/>
      </w:pPr>
      <w:r>
        <w:rPr>
          <w:b w:val="0"/>
          <w:i w:val="0"/>
          <w:sz w:val="21"/>
        </w:rPr>
        <w:t>A redação de 2025, na al. b) do n.º 1 do Capítulo XV, é a seguinte:</w:t>
      </w:r>
    </w:p>
    <w:p>
      <w:pPr>
        <w:spacing w:after="40"/>
        <w:ind w:left="454" w:right="227"/>
      </w:pPr>
      <w:r>
        <w:rPr>
          <w:i/>
          <w:sz w:val="19"/>
        </w:rPr>
        <w:t>«Um CRO municipal deve possuir, no mínimo, duas celas de isolamento, um compartimento para outras espécies, bem como uma sala que permita realizar a esterilização, tratamento e/ou occisão»</w:t>
      </w:r>
    </w:p>
    <w:p>
      <w:pPr>
        <w:spacing w:after="160"/>
        <w:ind w:left="454"/>
      </w:pPr>
      <w:r>
        <w:rPr>
          <w:color w:val="555555"/>
          <w:sz w:val="17"/>
        </w:rPr>
        <w:t>al. b) do n.º 1 do Capítulo XV do Aviso n.º 1/2025 DGAV-DBEA.</w:t>
      </w:r>
    </w:p>
    <w:p>
      <w:pPr>
        <w:spacing w:after="120"/>
      </w:pPr>
      <w:r>
        <w:rPr>
          <w:b w:val="0"/>
          <w:i w:val="0"/>
          <w:sz w:val="21"/>
        </w:rPr>
        <w:t>E a al. c), iii), do mesmo número fixava o apoio em «Compartimento para outras espécies (área mínima coberta de 3 m²/animal) – 1 537,02 €».</w:t>
      </w:r>
    </w:p>
    <w:p>
      <w:pPr>
        <w:spacing w:after="120"/>
      </w:pPr>
      <w:r>
        <w:rPr>
          <w:b w:val="0"/>
          <w:i w:val="0"/>
          <w:sz w:val="21"/>
        </w:rPr>
        <w:t>O Aviso n.º 1/2026, que é o Aviso em vigor, não contém uma única ocorrência da palavra «espécie». O item desapareceu dos requisitos técnicos e desapareceu da tabela de apoios. A verificação foi feita por pesquisa sistemática do termo no texto integral dos dois Avisos.</w:t>
      </w:r>
    </w:p>
    <w:p>
      <w:pPr>
        <w:spacing w:after="120"/>
      </w:pPr>
      <w:r>
        <w:rPr>
          <w:b w:val="0"/>
          <w:i/>
          <w:sz w:val="21"/>
        </w:rPr>
        <w:t>Leitura (inferência): o requisito não foi substituído por outro, nem acompanhado de norma transitória. Trata-se, pela aparência, de uma simplificação do Aviso e não de uma decisão de política, mas o efeito é o de retirar do quadro de financiamento a única infraestrutura que permitia aos centros de recolha oficial acolher espécies diferentes do cão e do gato.</w:t>
      </w:r>
    </w:p>
    <w:p>
      <w:pPr>
        <w:spacing w:after="120"/>
      </w:pPr>
      <w:r>
        <w:rPr>
          <w:b w:val="0"/>
          <w:i w:val="0"/>
          <w:color w:val="555555"/>
          <w:sz w:val="19"/>
        </w:rPr>
        <w:t>Nota de precisão a observar na pronúncia: a expressão literal «sala multiespécie» não consta dos Avisos. Consta do documento da Direção-Geral de Veterinária n.º 01/DSSPA/M//2010, de dezembro de 2010, sobre requisitos dos centros de recolha, que classifica as «Instalações por espécie» como obrigatórias e a «sala multiespécie» como recomendável, admitindo em alternativa «protocolos com outros centros de recolha ou outras entidades». Nos Avisos, a designação é «boxe para outros animais» e, a partir de 2025, «compartimento para outras espécies». É esta a expressão a citar.</w:t>
      </w:r>
    </w:p>
    <w:p>
      <w:pPr>
        <w:spacing w:before="240" w:after="80"/>
      </w:pPr>
      <w:r>
        <w:rPr>
          <w:b/>
          <w:color w:val="1F3B63"/>
          <w:sz w:val="22"/>
        </w:rPr>
        <w:t>4.7. A atividade existe e a própria DGAV a registou</w:t>
      </w:r>
    </w:p>
    <w:p>
      <w:pPr>
        <w:spacing w:after="120"/>
      </w:pPr>
      <w:r>
        <w:rPr>
          <w:b w:val="0"/>
          <w:i w:val="0"/>
          <w:sz w:val="21"/>
        </w:rPr>
        <w:t>O Relatório de Atividades dos Centros de Recolha Oficial relativo a 2025 contém a seguinte advertência metodológica:</w:t>
      </w:r>
    </w:p>
    <w:p>
      <w:pPr>
        <w:spacing w:after="40"/>
        <w:ind w:left="454" w:right="227"/>
      </w:pPr>
      <w:r>
        <w:rPr>
          <w:i/>
          <w:sz w:val="19"/>
        </w:rPr>
        <w:t>«Para efeitos do presente relatório, são considerados os dados referentes somente a cães e gatos. Alguns CRO têm ações realizadas com outras espécies, contudo esses dados, apesar de se encontrarem explanados na tabela, não foram considerados para os totais.»</w:t>
      </w:r>
    </w:p>
    <w:p>
      <w:pPr>
        <w:spacing w:after="160"/>
        <w:ind w:left="454"/>
      </w:pPr>
      <w:r>
        <w:rPr>
          <w:color w:val="555555"/>
          <w:sz w:val="17"/>
        </w:rPr>
        <w:t>DGAV, Relatório de Atividades dos Centros de Recolha Oficial de Animais de Companhia, 2025.</w:t>
      </w:r>
    </w:p>
    <w:p>
      <w:pPr>
        <w:spacing w:after="120"/>
      </w:pPr>
      <w:r>
        <w:rPr>
          <w:b w:val="0"/>
          <w:i w:val="0"/>
          <w:sz w:val="21"/>
        </w:rPr>
        <w:t>O enunciado é duplamente útil. Documenta, por fonte própria da DGAV, que há centros de recolha oficial a intervir sobre outras espécies; e documenta que essa atividade não é medida, porque os dados declarados pelos municípios são excluídos dos totais. A prática antecede, pois, o enquadramento.</w:t>
      </w:r>
    </w:p>
    <w:p>
      <w:pPr>
        <w:spacing w:before="240" w:after="80"/>
      </w:pPr>
      <w:r>
        <w:rPr>
          <w:b/>
          <w:color w:val="1F3B63"/>
          <w:sz w:val="22"/>
        </w:rPr>
        <w:t>4.8. O recinto multiespécie no projeto de RGAC</w:t>
      </w:r>
    </w:p>
    <w:p>
      <w:pPr>
        <w:spacing w:after="120"/>
      </w:pPr>
      <w:r>
        <w:rPr>
          <w:b w:val="0"/>
          <w:i w:val="0"/>
          <w:sz w:val="21"/>
        </w:rPr>
        <w:t>O projeto de RGAC prevê que os centros de recolha possam dispor de, pelo menos, um recinto multiespécie adequado a espécies pecuárias, cumprindo a legislação específica. A previsão é coerente com a base legal identificada no ponto 4.5 e com a série de Avisos do ponto 4.6, e é o lugar próprio para a matéria.</w:t>
      </w:r>
    </w:p>
    <w:p>
      <w:pPr>
        <w:spacing w:before="240" w:after="80"/>
      </w:pPr>
      <w:r>
        <w:rPr>
          <w:b/>
          <w:color w:val="1F3B63"/>
          <w:sz w:val="22"/>
        </w:rPr>
        <w:t>4.9. Os modelos europeus</w:t>
      </w:r>
    </w:p>
    <w:p>
      <w:pPr>
        <w:spacing w:after="120"/>
      </w:pPr>
      <w:r>
        <w:rPr>
          <w:b w:val="0"/>
          <w:i w:val="0"/>
          <w:sz w:val="21"/>
        </w:rPr>
        <w:t>Três modelos, quanto à relação entre a instalação destinada a animais de companhia e o alojamento de animais de espécie pecuária encontrados sem detentor.</w:t>
      </w:r>
    </w:p>
    <w:p>
      <w:pPr>
        <w:pStyle w:val="ListBullet"/>
        <w:spacing w:after="60"/>
        <w:jc w:val="both"/>
      </w:pPr>
      <w:r>
        <w:rPr>
          <w:sz w:val="21"/>
        </w:rPr>
        <w:t>Modelo dualista, em França, Espanha e Itália ao nível nacional. Duas figuras jurídicas distintas, uma para os animais de companhia e outra para o gado. Em França, a «fourrière» dos art.ºs L211-24 e seguintes do Code rural et de la pêche maritime cobre cães e gatos, e o gado tem a figura autónoma do «lieu de dépôt». Em Espanha, a al. b) do n.º 3 do art.º 1.º da Ley 7/2023 exclui expressamente do seu âmbito os animais de produção, que ficam sob o regime das «reses mostrencas».</w:t>
      </w:r>
    </w:p>
    <w:p>
      <w:pPr>
        <w:pStyle w:val="ListBullet"/>
        <w:spacing w:after="60"/>
        <w:jc w:val="both"/>
      </w:pPr>
      <w:r>
        <w:rPr>
          <w:sz w:val="21"/>
        </w:rPr>
        <w:t>Modelo unitário espécie-neutro, nos Países Baixos e na Bélgica. Há uma só obrigação de recolha e guarda, redigida para «um animal», qualquer que seja a espécie, com encaminhamento diferenciado na execução. O lid 3 do art.º 5:8 do Burgerlijk Wetboek neerlandês dispõe que «Indien een dier wordt gevonden» — se for encontrado um animal — o burgomestre é competente, decorridas duas semanas, para o transmitir a terceiro. A doutrina administrativa municipal confirma que o dever de acolhimento não se limita a cães e gatos e abrange todos os animais detidos.</w:t>
      </w:r>
    </w:p>
    <w:p>
      <w:pPr>
        <w:pStyle w:val="ListBullet"/>
        <w:spacing w:after="60"/>
        <w:jc w:val="both"/>
      </w:pPr>
      <w:r>
        <w:rPr>
          <w:sz w:val="21"/>
        </w:rPr>
        <w:t>Modelo intermédio, no nível regional italiano. A Lei Regional da Calábria n.º 45, de 3 de outubro de 2023, é o único diploma identificado que positiva a instalação de companhia aberta a outras espécies com padrão de separação. A al. b) do n.º 2 do seu art.º 28.º admite no canil sanitário «altri animali rinvenuti senza proprietario […] compatibilmente con la recettività e le caratteristiche della struttura»; a al. c) do n.º 1 do art.º 29.º exige que, «in caso di ricovero di specie diverse tra loro incompatibili», sejam usados meios que impeçam que os animais «possano vedersi, annusarsi o udirsi reciprocamente»; e o art.º 32.º admite a coexistência de estruturas diversas «purché siano separate, fisicamente e funzionalmente», com «uso in comune delle strutture di servizio e sanitarie».</w:t>
      </w:r>
    </w:p>
    <w:p>
      <w:pPr>
        <w:spacing w:after="120"/>
      </w:pPr>
      <w:r>
        <w:rPr>
          <w:b w:val="0"/>
          <w:i w:val="0"/>
          <w:color w:val="555555"/>
          <w:sz w:val="19"/>
        </w:rPr>
        <w:t>Duas notas de delimitação, para que o argumento comparado não seja sobre-estendido. Primeira: nenhum dos ordenamentos analisados impõe uma instalação multiespécie, pelo que a solução portuguesa, se avançar, é inovadora e não transposta. Segunda: o diploma calabrês define «animale d'affezione» como o animal detido «senza fini produttivi o alimentari», pelo que o gado permanece formalmente fora do seu âmbito; a abertura do art.º 28.º tem finalidade de profilaxia antirrábica.</w:t>
      </w:r>
    </w:p>
    <w:p>
      <w:pPr>
        <w:spacing w:after="120"/>
      </w:pPr>
      <w:r>
        <w:rPr>
          <w:b w:val="0"/>
          <w:i w:val="0"/>
          <w:sz w:val="21"/>
        </w:rPr>
        <w:t>Nas Ilhas Britânicas há duas peças de interesse direto, uma de modelo e outra de advertência.</w:t>
      </w:r>
    </w:p>
    <w:p>
      <w:pPr>
        <w:spacing w:after="120"/>
      </w:pPr>
      <w:r>
        <w:rPr>
          <w:b w:val="0"/>
          <w:i w:val="0"/>
          <w:sz w:val="21"/>
        </w:rPr>
        <w:t>A peça de modelo é galesa. O Code of Best Practice for Animal Welfare Establishments, do Governo do País de Gales, de 2020, é o único documento oficial identificado que inclui no seu âmbito as instalações municipais de recolha de animais errantes e as trata como instalações multiespécie. O âmbito declarado abrange «rehabilitation centres, rescue centres, and stray animal facilities (local authority or contractor)» e a definição é a seguinte:</w:t>
      </w:r>
    </w:p>
    <w:p>
      <w:pPr>
        <w:spacing w:after="40"/>
        <w:ind w:left="454" w:right="227"/>
      </w:pPr>
      <w:r>
        <w:rPr>
          <w:i/>
          <w:sz w:val="19"/>
        </w:rPr>
        <w:t>«A person, organisation or establishment who holds themselves out to receive vulnerable animals on a regular basis, whether companion, farmed, wild, protected or other animals, with a view to rehabilitating and either rehoming or releasing (back to the wild), or providing long-term care.»</w:t>
      </w:r>
    </w:p>
    <w:p>
      <w:pPr>
        <w:spacing w:after="160"/>
        <w:ind w:left="454"/>
      </w:pPr>
      <w:r>
        <w:rPr>
          <w:color w:val="555555"/>
          <w:sz w:val="17"/>
        </w:rPr>
        <w:t>Code of Best Practice for Animal Welfare Establishments, Welsh Government, 2020, definição de Animal Welfare Establishment.</w:t>
      </w:r>
    </w:p>
    <w:p>
      <w:pPr>
        <w:spacing w:after="120"/>
      </w:pPr>
      <w:r>
        <w:rPr>
          <w:b w:val="0"/>
          <w:i w:val="0"/>
          <w:sz w:val="21"/>
        </w:rPr>
        <w:t>O código fixa, para os recintos interiores e exteriores, o requisito de «Separation from other species if appropriate» e «Separation from other species as appropriate», prevê expressamente a coexistência de estábulos e canis na mesma instalação, e faz depender a lotação máxima dos recursos efetivos do estabelecimento, incluindo a necessidade de manter animais de espécies diferentes separados e fora da vista e do olfato dos restantes. É o molde técnico mais completo encontrado.</w:t>
      </w:r>
    </w:p>
    <w:p>
      <w:pPr>
        <w:spacing w:after="120"/>
      </w:pPr>
      <w:r>
        <w:rPr>
          <w:b w:val="0"/>
          <w:i w:val="0"/>
          <w:sz w:val="21"/>
        </w:rPr>
        <w:t>A peça de advertência é irlandesa, e deve ser retida com igual atenção. O n.º 1 do art.º 2.º do Pounds (Provision and Maintenance) Act, 1935, impõe às autoridades locais o dever de prover instalação, com certificação prévia de adequação por entidade externa ao município. A instalação é multiespécie por definição legal. Sucede que o poder de fixar padrões técnicos, previsto na al. h) do n.º 3 do art.º 5.º do Animals Act, 1985, nunca foi exercido, e a revisão governamental de 2017 concluiu que as instalações, sobretudo as privadas com fim lucrativo, estão «inadequately regulated».</w:t>
      </w:r>
    </w:p>
    <w:p>
      <w:pPr>
        <w:spacing w:after="120"/>
      </w:pPr>
      <w:r>
        <w:rPr>
          <w:b w:val="0"/>
          <w:i w:val="0"/>
          <w:sz w:val="21"/>
        </w:rPr>
        <w:t>A conclusão a extrair da comparação não é, por isso, que a instalação multiespécie seja boa ou má em si. É que a figura sem norma técnica produz maus-tratos, e que a norma técnica é precisamente o contributo que esta área tem para dar. O caso irlandês mostra também o inverso quando o investimento é feito a montante: segundo os dados abertos do Department of Agriculture, Food and the Marine, as occisões de equídeos apreendidos passaram de 4 231, em 2014, para 14, em 2022, e a proporção de animais realojados subiu de cerca de 10 % para 76 %.</w:t>
      </w:r>
    </w:p>
    <w:p>
      <w:pPr>
        <w:spacing w:after="120"/>
      </w:pPr>
      <w:r>
        <w:rPr>
          <w:b w:val="0"/>
          <w:i w:val="0"/>
          <w:color w:val="555555"/>
          <w:sz w:val="19"/>
        </w:rPr>
        <w:t>Reserva quanto a estes números: provêm do conjunto de dados aberto A0020 do Department of Agriculture, Food and the Marine, com uma divergência não explicada, no ano de 2019, entre a ficha do próprio departamento, que indica 885 apreensões, e o conjunto de dados, que indica 1 050. Os valores posteriores a 2022 não foram confirmados.</w:t>
      </w:r>
    </w:p>
    <w:p>
      <w:pPr>
        <w:spacing w:before="240" w:after="80"/>
      </w:pPr>
      <w:r>
        <w:rPr>
          <w:b/>
          <w:color w:val="1F3B63"/>
          <w:sz w:val="22"/>
        </w:rPr>
        <w:t>4.10. Fontes do ponto 04</w:t>
      </w:r>
    </w:p>
    <w:p>
      <w:pPr>
        <w:pStyle w:val="ListBullet"/>
        <w:spacing w:after="60"/>
        <w:jc w:val="both"/>
      </w:pPr>
      <w:r>
        <w:rPr>
          <w:sz w:val="21"/>
        </w:rPr>
        <w:t>Projeto: art.ºs 48.º, al. c), 54.º, 55.º, 57.º, 58.º e 59.º do anexo; estrutura do Título II; ficha de avaliação legislativa, quadro das audições obrigatórias.</w:t>
      </w:r>
    </w:p>
    <w:p>
      <w:pPr>
        <w:pStyle w:val="ListBullet"/>
        <w:spacing w:after="60"/>
        <w:jc w:val="both"/>
      </w:pPr>
      <w:r>
        <w:rPr>
          <w:sz w:val="21"/>
        </w:rPr>
        <w:t>Decreto-Lei n.º 276/2001 — art.ºs 2.º, n.º 1, als. c) e t), 3.º, n.º 1, al. a), e 19.º.</w:t>
      </w:r>
    </w:p>
    <w:p>
      <w:pPr>
        <w:pStyle w:val="ListBullet"/>
        <w:spacing w:after="60"/>
        <w:jc w:val="both"/>
      </w:pPr>
      <w:r>
        <w:rPr>
          <w:sz w:val="21"/>
        </w:rPr>
        <w:t>Decreto-Lei n.º 314/2003 — art.ºs 2.º, al. n), 8.º, 9.º, 10.º, 11.º e 12.º.</w:t>
      </w:r>
    </w:p>
    <w:p>
      <w:pPr>
        <w:pStyle w:val="ListBullet"/>
        <w:spacing w:after="60"/>
        <w:jc w:val="both"/>
      </w:pPr>
      <w:r>
        <w:rPr>
          <w:sz w:val="21"/>
        </w:rPr>
        <w:t>Lei n.º 27/2016 — art.ºs 1.º a 5.º, em especial o n.º 1 do art.º 3.º e os n.ºs 9 e 10 do mesmo artigo.</w:t>
      </w:r>
    </w:p>
    <w:p>
      <w:pPr>
        <w:pStyle w:val="ListBullet"/>
        <w:spacing w:after="60"/>
        <w:jc w:val="both"/>
      </w:pPr>
      <w:r>
        <w:rPr>
          <w:sz w:val="21"/>
        </w:rPr>
        <w:t>Portaria n.º 146/2017 — normas técnicas dos programas de captura, esterilização e devolução.</w:t>
      </w:r>
    </w:p>
    <w:p>
      <w:pPr>
        <w:pStyle w:val="ListBullet"/>
        <w:spacing w:after="60"/>
        <w:jc w:val="both"/>
      </w:pPr>
      <w:r>
        <w:rPr>
          <w:sz w:val="21"/>
        </w:rPr>
        <w:t>Código Civil, art.º 1323.º, na redação da Lei n.º 8/2017 — regime do animal achado, aplicável a qualquer espécie.</w:t>
      </w:r>
    </w:p>
    <w:p>
      <w:pPr>
        <w:pStyle w:val="ListBullet"/>
        <w:spacing w:after="60"/>
        <w:jc w:val="both"/>
      </w:pPr>
      <w:r>
        <w:rPr>
          <w:sz w:val="21"/>
        </w:rPr>
        <w:t>Código da Estrada, art.º 92.º — condução de animais na via pública. A norma que sanciona o proprietário que deixe o animal vaguear não foi confirmada quanto ao número do artigo.</w:t>
      </w:r>
    </w:p>
    <w:p>
      <w:pPr>
        <w:pStyle w:val="ListBullet"/>
        <w:spacing w:after="60"/>
        <w:jc w:val="both"/>
      </w:pPr>
      <w:r>
        <w:rPr>
          <w:sz w:val="21"/>
        </w:rPr>
        <w:t>Portaria n.º 1112/2009 — Rede Nacional de Centros de Recuperação de Fauna, coordenada pelo ICNF em articulação com a DGAV, para animais selvagens.</w:t>
      </w:r>
    </w:p>
    <w:p>
      <w:pPr>
        <w:pStyle w:val="ListBullet"/>
        <w:spacing w:after="60"/>
        <w:jc w:val="both"/>
      </w:pPr>
      <w:r>
        <w:rPr>
          <w:sz w:val="21"/>
        </w:rPr>
        <w:t>Projeto de RGAC — artigo relativo aos centros de recolha, quanto ao recinto multiespécie. Trabalho em curso, citado como tal.</w:t>
      </w:r>
    </w:p>
    <w:p>
      <w:pPr>
        <w:pStyle w:val="ListBullet"/>
        <w:spacing w:after="60"/>
        <w:jc w:val="both"/>
      </w:pPr>
      <w:r>
        <w:rPr>
          <w:sz w:val="21"/>
        </w:rPr>
        <w:t>Despacho n.º 3321/2018, publicado no Diário da República, 2.ª série, n.º 66, de 4 de abril de 2018 — programa de apoio à construção e modernização de centros de recolha oficial; anexo «Valores de referência e limites».</w:t>
      </w:r>
    </w:p>
    <w:p>
      <w:pPr>
        <w:pStyle w:val="ListBullet"/>
        <w:spacing w:after="60"/>
        <w:jc w:val="both"/>
      </w:pPr>
      <w:r>
        <w:rPr>
          <w:sz w:val="21"/>
        </w:rPr>
        <w:t>Avisos n.ºs 1/2021, 1/2022 e 1/2023 do ICNF-DBEAC e n.ºs 1/2025 e 1/2026 da DGAV-DBEA — requisitos mínimos de construção e tabelas de apoio. Os Avisos de 2020 e 2024 não foram consultados.</w:t>
      </w:r>
    </w:p>
    <w:p>
      <w:pPr>
        <w:pStyle w:val="ListBullet"/>
        <w:spacing w:after="60"/>
        <w:jc w:val="both"/>
      </w:pPr>
      <w:r>
        <w:rPr>
          <w:sz w:val="21"/>
        </w:rPr>
        <w:t>Documento da Direção-Geral de Veterinária n.º 01/DSSPA/M//2010, de dezembro de 2010 — requisitos dos centros de recolha; origem da expressão «sala multiespécie».</w:t>
      </w:r>
    </w:p>
    <w:p>
      <w:pPr>
        <w:pStyle w:val="ListBullet"/>
        <w:spacing w:after="60"/>
        <w:jc w:val="both"/>
      </w:pPr>
      <w:r>
        <w:rPr>
          <w:sz w:val="21"/>
        </w:rPr>
        <w:t>DGAV, Relatório de Atividades dos Centros de Recolha Oficial de Animais de Companhia, 2025.</w:t>
      </w:r>
    </w:p>
    <w:p>
      <w:pPr>
        <w:pStyle w:val="ListBullet"/>
        <w:spacing w:after="60"/>
        <w:jc w:val="both"/>
      </w:pPr>
      <w:r>
        <w:rPr>
          <w:sz w:val="21"/>
        </w:rPr>
        <w:t>Code rural et de la pêche maritime (França), art.ºs L211-19-1 e L211-23 e seguintes; Ley 7/2023, de 28 de marzo (Espanha), n.º 3 do art.º 1.º; Burgerlijk Wetboek (Países Baixos), art.º 5:8; Code wallon du Bien-être animal e Vlaamse Codex Dierenwelzijn (Bélgica); Legge 14 agosto 1991, n. 281, e Lei Regional da Calábria n.º 45, de 3 de outubro de 2023 (Itália), art.ºs 2.º, 28.º, 29.º e 32.º.</w:t>
      </w:r>
    </w:p>
    <w:p>
      <w:pPr>
        <w:pStyle w:val="ListBullet"/>
        <w:spacing w:after="60"/>
        <w:jc w:val="both"/>
      </w:pPr>
      <w:r>
        <w:rPr>
          <w:sz w:val="21"/>
        </w:rPr>
        <w:t>Animals Act 1971 (Inglaterra e País de Gales), art.º 7.º; Control of Horses (Wales) Act 2014; Code of Best Practice for Animal Welfare Establishments, Governo do País de Gales, 2020; Code of Practice for the Welfare of Horses, País de Gales, 2018.</w:t>
      </w:r>
    </w:p>
    <w:p>
      <w:pPr>
        <w:pStyle w:val="ListBullet"/>
        <w:spacing w:after="60"/>
        <w:jc w:val="both"/>
      </w:pPr>
      <w:r>
        <w:rPr>
          <w:sz w:val="21"/>
        </w:rPr>
        <w:t>Pounds (Provision and Maintenance) Act, 1935 (Irlanda), art.º 2.º; Animals Act, 1985, al. h) do n.º 3 do art.º 5.º; Control of Horses Act, 1996; conjunto de dados aberto A0020 do Department of Agriculture, Food and the Marine.</w:t>
      </w:r>
    </w:p>
    <w:p>
      <w:pPr>
        <w:pStyle w:val="ListBullet"/>
        <w:spacing w:after="60"/>
        <w:jc w:val="both"/>
      </w:pPr>
      <w:r>
        <w:rPr>
          <w:sz w:val="21"/>
        </w:rPr>
        <w:t>Projeto de Resolução n.º 82/XIV/1.ª — documenta a ausência de infraestrutura para fiel depositário de equídeos apreendidos e a exigência de registo como exploração pecuária para constituir santuário.</w:t>
      </w:r>
    </w:p>
    <w:p>
      <w:pPr>
        <w:pStyle w:val="ListBullet"/>
        <w:spacing w:after="60"/>
        <w:jc w:val="both"/>
      </w:pPr>
      <w:r>
        <w:rPr>
          <w:sz w:val="21"/>
        </w:rPr>
        <w:t>Resolução do Conselho de Ministros n.º 78/2021, de 25 de junho, e Estratégia Nacional para os Animais Errantes, do ICNF — ambas circunscritas aos animais de companhia.</w:t>
      </w:r>
    </w:p>
    <w:p>
      <w:pPr>
        <w:spacing w:before="360" w:after="120"/>
      </w:pPr>
      <w:r>
        <w:rPr>
          <w:b/>
          <w:color w:val="1F3B63"/>
          <w:sz w:val="26"/>
        </w:rPr>
        <w:t>Secção complementar — Venda em comércio não sedentário, feiras e leilões</w:t>
      </w:r>
    </w:p>
    <w:p>
      <w:pPr>
        <w:spacing w:before="240" w:after="80"/>
      </w:pPr>
      <w:r>
        <w:rPr>
          <w:b/>
          <w:color w:val="1F3B63"/>
          <w:sz w:val="22"/>
        </w:rPr>
        <w:t>C.1. A omissão dos animais vivos no elenco de proibições</w:t>
      </w:r>
    </w:p>
    <w:p>
      <w:pPr>
        <w:spacing w:after="120"/>
      </w:pPr>
      <w:r>
        <w:rPr>
          <w:b w:val="0"/>
          <w:i w:val="0"/>
          <w:sz w:val="21"/>
        </w:rPr>
        <w:t>A questão de partida era a omissão dos animais vivos no elenco de proibições do n.º 2 do art.º 133.º do anexo. A análise conclui que não houve decisão neste projeto nem regressão face ao regime vigente.</w:t>
      </w:r>
    </w:p>
    <w:p>
      <w:pPr>
        <w:pStyle w:val="ListBullet"/>
        <w:spacing w:after="60"/>
        <w:jc w:val="both"/>
      </w:pPr>
      <w:r>
        <w:rPr>
          <w:sz w:val="21"/>
        </w:rPr>
        <w:t>No ficheiro não há qualquer eliminação de texto relativa a animais no art.º 133.º, nem comentário ancorado ao artigo. A única alteração registada em todo o artigo é a eliminação da expressão «, na sua redação atual» na al. a) do n.º 2, em nome de Maria João Torres, com data de 1.9.2026.</w:t>
      </w:r>
    </w:p>
    <w:p>
      <w:pPr>
        <w:pStyle w:val="ListBullet"/>
        <w:spacing w:after="60"/>
        <w:jc w:val="both"/>
      </w:pPr>
      <w:r>
        <w:rPr>
          <w:sz w:val="21"/>
        </w:rPr>
        <w:t>O n.º 2 do art.º 133.º reproduz literalmente o n.º 2 do art.º 75.º do Decreto-Lei n.º 10/2015, de 16 de janeiro: as mesmas sete alíneas, na mesma ordem e com a mesma redação. A omissão é herdada de 2015.</w:t>
      </w:r>
    </w:p>
    <w:p>
      <w:pPr>
        <w:pStyle w:val="ListBullet"/>
        <w:spacing w:after="60"/>
        <w:jc w:val="both"/>
      </w:pPr>
      <w:r>
        <w:rPr>
          <w:sz w:val="21"/>
        </w:rPr>
        <w:t>Em 2015 a matéria já tinha sede própria. O n.º 6 do art.º 35.º do Decreto-Lei n.º 276/2001, na redação do Decreto-Lei n.º 315/2003, de 17 de dezembro, dispõe que «não é permitida a venda ambulante de animais de companhia», no mesmo artigo que fixa as condições da venda em feiras e mercados.</w:t>
      </w:r>
    </w:p>
    <w:p>
      <w:pPr>
        <w:pStyle w:val="ListBullet"/>
        <w:spacing w:after="60"/>
        <w:jc w:val="both"/>
      </w:pPr>
      <w:r>
        <w:rPr>
          <w:sz w:val="21"/>
        </w:rPr>
        <w:t>O critério do elenco é coerente: fitofarmacêuticos, medicamentos, aditivos para alimentação animal, armas e explosivos, combustíveis, moedas e notas e veículos são produtos cuja venda fora de estabelecimento envolve risco de segurança ou de saúde pública. O animal não é um produto e o fundamento da proibição é o bem-estar, matéria de outro diploma.</w:t>
      </w:r>
    </w:p>
    <w:p>
      <w:pPr>
        <w:spacing w:before="240" w:after="80"/>
      </w:pPr>
      <w:r>
        <w:rPr>
          <w:b/>
          <w:color w:val="1F3B63"/>
          <w:sz w:val="22"/>
        </w:rPr>
        <w:t>C.2. Os leilões de animais</w:t>
      </w:r>
    </w:p>
    <w:p>
      <w:pPr>
        <w:spacing w:after="120"/>
      </w:pPr>
      <w:r>
        <w:rPr>
          <w:b w:val="0"/>
          <w:i w:val="0"/>
          <w:sz w:val="21"/>
        </w:rPr>
        <w:t>O n.º 1 do art.º 153.º do anexo define a atividade leiloeira como a venda «de bens móveis e imóveis, corpóreos e incorpóreos ou de animais», sujeita a comunicação prévia, com a DGDCCS como entidade coordenadora e sem requisito algum de identificação, registo ou informação ao adquirente. A pesquisa das expressões «leilão» e «leiloeira» no Decreto-Lei n.º 276/2001 não devolve ocorrências: o leilão de animais de companhia não está regulado do lado do bem-estar. A partir de 31 de agosto de 2030 o n.º 3 do art.º 21.º do Regulamento (UE) 2026/1818 obriga quem coloca um cão ou gato no mercado a facultar ao adquirente prova da identificação e do registo, bem como a espécie, o sexo, a data e o país de nascimento e, se for o caso, a raça.</w:t>
      </w:r>
    </w:p>
    <w:p>
      <w:pPr>
        <w:spacing w:after="120"/>
      </w:pPr>
      <w:r>
        <w:rPr>
          <w:b w:val="0"/>
          <w:i w:val="0"/>
          <w:sz w:val="21"/>
        </w:rPr>
        <w:t>Verificação pendente: se os Decretos-Leis n.ºs 155/2015 e 160/2015, que este projeto revoga e que regulavam a atividade leiloeira e a prestamista, continham disposição sobre animais. Se continham, há regressão; se não, o vazio é antigo e apenas se consolida.</w:t>
      </w:r>
    </w:p>
    <w:p>
      <w:pPr>
        <w:spacing w:before="240" w:after="80"/>
      </w:pPr>
      <w:r>
        <w:rPr>
          <w:b/>
          <w:color w:val="1F3B63"/>
          <w:sz w:val="22"/>
        </w:rPr>
        <w:t>C.3. A remissão do projeto de RGAC para o Decreto-Lei n.º 10/2015</w:t>
      </w:r>
    </w:p>
    <w:p>
      <w:pPr>
        <w:spacing w:after="120"/>
      </w:pPr>
      <w:r>
        <w:rPr>
          <w:b w:val="0"/>
          <w:i w:val="0"/>
          <w:sz w:val="21"/>
        </w:rPr>
        <w:t>O n.º 2 do art.º 11.º do projeto de RGAC vai além da lei vigente, ao proibir a transmissão de animais de companhia «fora dos locais autorizados para o efeito, nomeadamente na via pública ou no âmbito da atividade de comércio a retalho não sedentária, designadamente em feiras, mercados ou de modo ambulante, tal como definida no Decreto-Lei n.º 10/2015, de 16 de janeiro». A proibição é ancorada por remissão a um diploma que este projeto revoga. Se o RGAC for publicado nestes termos, nasce com remissão para norma revogada. É matéria a corrigir no nosso texto, e segue para o memorando de acompanhamento, não para a pronúncia.</w:t>
      </w:r>
    </w:p>
    <w:p>
      <w:pPr>
        <w:spacing w:before="240" w:after="80"/>
      </w:pPr>
      <w:r>
        <w:rPr>
          <w:b/>
          <w:color w:val="1F3B63"/>
          <w:sz w:val="22"/>
        </w:rPr>
        <w:t>C.4. Hipótese não confirmada</w:t>
      </w:r>
    </w:p>
    <w:p>
      <w:pPr>
        <w:spacing w:after="120"/>
      </w:pPr>
      <w:r>
        <w:rPr>
          <w:b w:val="0"/>
          <w:i w:val="0"/>
          <w:sz w:val="21"/>
        </w:rPr>
        <w:t>Antes do Decreto-Lei n.º 10/2015, a venda ambulante regia-se pelo Decreto-Lei n.º 122/79, de 8 de maio, cujo art.º 7.º não enumerava os produtos no corpo da lei, remetendo para lista anexa alterável por despacho. Há indicação de que essa lista, e os regulamentos municipais que nela se apoiavam, abrangiam aves e outros animais de criação. Sendo assim, o elenco de 2015 poderá ter deixado cair a proibição quanto às espécies pecuárias, que o Decreto-Lei n.º 276/2001 não alcança por excluir do seu âmbito «as espécies de pecuária». Não foi possível confirmar: o acesso à fonte foi recusado com erro 403. A confirmar-se, o tema ligar-se-ia ao ponto 02 e justificaria a sua reabertura.</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