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Animais de companhia e atividade pecuária</w:t>
      </w:r>
    </w:p>
    <w:p>
      <w:pPr>
        <w:spacing w:after="320"/>
      </w:pPr>
      <w:r>
        <w:rPr>
          <w:i/>
          <w:sz w:val="19"/>
        </w:rPr>
        <w:t>Projeto de DL das atividades económicas, versão de 25.9.2026. À consideração.</w:t>
      </w:r>
    </w:p>
    <w:p>
      <w:r>
        <w:t>A propósito da questão já colocada neste articulado sobre quais as normas de bem-estar aplicáveis à atividade pecuária, deixamos uma dúvida de aplicação.</w:t>
      </w:r>
    </w:p>
    <w:p>
      <w:r>
        <w:t>A definição de atividade pecuária, na alínea c) do artigo 48.º, exclui a apicultura. Até 21 de setembro excluía também os animais de companhia, e essa parte foi retirada.</w:t>
      </w:r>
    </w:p>
    <w:p>
      <w:r>
        <w:t>A dúvida é esta: a detenção caseira de coelhos ou de pequenos roedores por lazer fica sujeita a que normas de bem-estar?</w:t>
      </w:r>
    </w:p>
    <w:p>
      <w:r>
        <w:t>A Portaria n.º 635/2009 regula a detenção e produção de leporídeos, mas assenta nas classes de licenciamento, e a detenção caseira é expressamente isenta. O artigo 51.º remete para o Decreto-Lei n.º 142/2006, que estabelece a identificação, o registo e a circulação. E o Decreto-Lei n.º 276/2001, cujo artigo 26.º fixa as medidas das caixas para pequenos roedores e coelhos, exclui do seu âmbito «as espécies de pecuária».</w:t>
      </w:r>
    </w:p>
    <w:p>
      <w:r>
        <w:t>Parece-nos útil que a resposta fique clara antes da consulta pública, uma vez que estes animais passam a ter registo sem que se identifique a norma que assegura o seu bem-estar. Ficamos ao dispor para ajudar nessa clarificação.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