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a recolha de animais errantes de todas as espécies, deixamos o que esta área tem a oferecer em concreto e os aspetos que nos parece importante ressalvar.</w:t>
      </w:r>
    </w:p>
    <w:p>
      <w:r>
        <w:t>Uma nota de contexto primeiro, porque muda a dimensão da questão. Desde 8 de agosto está em vigor a Lei n.º 38/2026, de 3 de agosto, que integrou os animais na proteção civil. A alínea e) do n.º 2 do artigo 2.º da Lei n.º 65/2007 inclui agora, nos domínios da proteção civil municipal, o planeamento de soluções de emergência para «a evacuação, alojamento e abastecimento dos animais presentes no município, incluindo a realização de simulacros». A norma não distingue espécies. No mesmo sentido, a alínea d) do artigo 13.º do Decreto-Lei n.º 90-A/2022 prevê, no teatro de operações, «uma zona de concentração de acolhimento de animais».</w:t>
      </w:r>
    </w:p>
    <w:p>
      <w:r>
        <w:t>Ou seja, os municípios já têm, desde agosto, um dever de planeamento que inclui o alojamento de animais de qualquer espécie em emergência. Se a este acrescer a recolha corrente de animais errantes de espécie pecuária prevista no artigo 59.º, os dois deveres convergem na mesma necessidade física — um lugar onde alojar estas espécies sob responsabilidade municipal — e para nenhum deles existe hoje norma de bem-estar aplicável. É o que nos leva ao ponto seguinte.</w:t>
      </w:r>
    </w:p>
    <w:p>
      <w:r>
        <w:t>O artigo 59.º pressupõe um período de guarda do animal, mas não identifica a instalação nem as condições em que essa guarda se faz. O n.º 3 manda notificar o detentor para pagar «as despesas realizadas com a retirada, captura, transporte, alojamento, alimentação, identificação e cuidados médico-veterinários», pelo que há alojamento e alimentação a cargo de alguém, por um prazo que é de cinco dias úteis quando o detentor é conhecido e indeterminado quando não é. Note-se que a única exigência de adequação de alojamento, no n.º 4, recai sobre a exploração pecuária de origem, que só pode receber o animal de volta após verificação de que «dispõe de condições adequadas de alojamento e contenção». Para o período de guarda não há norma equivalente.</w:t>
      </w:r>
    </w:p>
    <w:p>
      <w:r>
        <w:t>E o parâmetro não existiria mesmo que o artigo o invocasse, por dupla exclusão: o n.º 2 do artigo 1.º do Decreto-Lei n.º 276/2001 exclui do seu âmbito «as espécies de pecuária», e o artigo 2.º da Portaria n.º 146/2017 circunscreve o regime dos centros de recolha às espécies da Parte A do Anexo I do Regulamento (UE) 2016/429, ou seja, ao cão, ao gato e ao furão. Quando o n.º 5 do artigo 59.º manda determinar o destino do animal «observadas as normas relativas à identificação, registo, circulação, sanidade e bem-estar animal», é para normas que, quanto a estas espécies e neste contexto, estão por fixar.</w:t>
      </w:r>
    </w:p>
    <w:p>
      <w:r>
        <w:t>É esta a lacuna que nos parece dever ficar ressalvada, e é também o contributo que podemos dar. Uma norma técnica de alojamento para estas espécies teria de fixar, no mínimo: áreas e dimensões por espécie e por fase de desenvolvimento; separação entre espécies incompatíveis, incluindo o isolamento visual, sonoro e olfativo entre presas e predadores; quarentena e biossegurança à entrada, uma vez que o animal chega sem identificação e sem exploração de origem conhecida; alimentação e abeberamento próprios da espécie; meios de contenção e de maneio seguro; e lotação máxima determinada pelos recursos efetivos da instalação. Deixamos ainda uma nota de dimensionamento: o compartimento para outras espécies previsto nos Avisos de financiamento tem área mínima de três metros quadrados por animal, medida pensada para espécies de pequeno porte e insuficiente para um equídeo ou um bovino. O valor não pode ser transposto sem revisão.</w:t>
      </w:r>
    </w:p>
    <w:p>
      <w:r>
        <w:t>A resposta física não seria, em todo o caso, inteiramente nova. Desde o Despacho n.º 3321/2018 até ao Aviso n.º 1/2025, um compartimento para outras espécies foi requisito mínimo de construção de um CRO municipal e item financiado, com apoio que evoluiu de 1.300 € para 1 537,02 €. Manteve-se oito anos, primeiro sob o ICNF e depois sob a DGAV. Não consta do Aviso n.º 1/2026 e pode ser reposto por via administrativa.</w:t>
      </w:r>
    </w:p>
    <w:p>
      <w:r>
        <w:t>A instalação de destino determina o regime aplicável ao animal, e a escolha não é indiferente. Entregue o animal a um centro de recolha oficial, aplica-se a Lei n.º 27/2016, que é espécie-neutra, uma vez que fala em «centros de recolha oficial de animais», com a presunção de abandono, a esterilização obrigatória, o encaminhamento para adoção e a proibição do abate como forma de controlo da população. O n.º 4 do artigo 57.º, para os animais apreendidos em exploração, aponta em sentido oposto: matadouro, se aprovados para consumo, ou destruição. Como o artigo 59.º não identifica instalação alguma, a consequência fica em aberto. Parece-nos matéria a esclarecer expressamente.</w:t>
      </w:r>
    </w:p>
    <w:p>
      <w:r>
        <w:t>A qualificação da própria instalação merece atenção. A alínea b) do artigo 48.º inclui o equídeo e o leporídeo na definição de animal de espécie pecuária, e os limiares assentam em cabeças normais, cuja tabela de equivalências o Anexo V ainda não contém, pelo que não é possível determinar a partir de que efetivo uma instalação de acolhimento passaria a exercer atividade pecuária sujeita a título. A questão é prática: o Projeto de Resolução n.º 82/XIV/1.ª registava que «para se proceder à criação de um santuário de animais de quinta, é obrigatória a inscrição como exploração de animais de pecuária». Seria útil deixar claro que a instalação que recebe animais ao abrigo do artigo 59.º não exerce, por esse facto, atividade pecuária.</w:t>
      </w:r>
    </w:p>
    <w:p>
      <w:r>
        <w:t>Duas notas de execução. As despesas ficam sem titular na hipótese que mais interessa: os n.os 3 e 6 imputam-nas ao detentor identificado, mas o n.º 5 regula precisamente o caso em que este não é conhecido, e aí o custo da permanência recai sobre a instalação. E os prazos não coincidem — oito dias de permanência mínima pelo n.º 1 do artigo 9.º do Decreto-Lei n.º 314/2003, quinze dias para a presunção de abandono pelo n.º 1 do artigo 3.º da Lei n.º 27/2016, cinco dias úteis pelo n.º 3 do artigo 59.º —, pelo que, recebendo a mesma instalação animais ao abrigo de regimes diferentes, correm prazos distintos em paralelo.</w:t>
      </w:r>
    </w:p>
    <w:p>
      <w:r>
        <w:t>Não há, por último, base de medida do problema: o Relatório de Atividades dos Centros de Recolha Oficial de 2025 refere que «alguns CRO têm ações realizadas com outras espécies», mas esses dados não foram considerados para os totais. A recolha dessa informação é algo que podemos assegurar.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qualquer destes pontos, em especial os critérios de alojamento.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