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B5C"/>
          <w:sz w:val="26"/>
        </w:rPr>
        <w:t>Limites de detenção por fogo e lotação dos alojamentos: quadro de casos-tipo</w:t>
      </w:r>
    </w:p>
    <w:p>
      <w:pPr>
        <w:spacing w:after="160"/>
        <w:jc w:val="both"/>
      </w:pPr>
      <w:r>
        <w:rPr>
          <w:i/>
          <w:color w:val="595959"/>
          <w:sz w:val="16"/>
        </w:rPr>
        <w:t>Os casos organizam-se pelo lugar onde estão os animais, que é o critério que decide a norma aplicável, e não pela classificação matricial do prédio nem pela dimensão do terreno. Na coluna do limite e nas colunas da sanção e da remoção quanto aos animais do agregado, os artigos sem diploma são do Decreto-Lei n.º 314/2003; quanto aos alojamentos registados, do Decreto-Lei n.º 276/2001. MVM: médico veterinário municipal. DSAVR: direções de serviços de alimentação e veterinária regionais da DGAV. OPC: órgãos de polícia criminal. 9 de outubro de 2026.</w:t>
      </w:r>
    </w:p>
    <w:tbl>
      <w:tblPr>
        <w:tblStyle w:val="TableGrid"/>
        <w:tblW w:type="dxa" w:w="1451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608"/>
        <w:gridCol w:w="2268"/>
        <w:gridCol w:w="2494"/>
        <w:gridCol w:w="2268"/>
        <w:gridCol w:w="2494"/>
      </w:tblGrid>
      <w:tr>
        <w:trPr>
          <w:tblHeader w:val="true"/>
        </w:trPr>
        <w:tc>
          <w:tcPr>
            <w:tcW w:type="dxa" w:w="2381"/>
            <w:shd w:val="clear" w:fill="E8EDF3"/>
          </w:tcPr>
          <w:p>
            <w:pPr>
              <w:spacing w:after="0"/>
            </w:pPr>
            <w:r>
              <w:rPr>
                <w:b/>
                <w:color w:val="1F3B5C"/>
                <w:sz w:val="16"/>
              </w:rPr>
              <w:t>Caso</w:t>
            </w:r>
          </w:p>
        </w:tc>
        <w:tc>
          <w:tcPr>
            <w:tcW w:type="dxa" w:w="2608"/>
            <w:shd w:val="clear" w:fill="E8EDF3"/>
          </w:tcPr>
          <w:p>
            <w:pPr>
              <w:spacing w:after="0"/>
            </w:pPr>
            <w:r>
              <w:rPr>
                <w:b/>
                <w:color w:val="1F3B5C"/>
                <w:sz w:val="16"/>
              </w:rPr>
              <w:t>Limite de animais adultos</w:t>
            </w:r>
          </w:p>
        </w:tc>
        <w:tc>
          <w:tcPr>
            <w:tcW w:type="dxa" w:w="2268"/>
            <w:shd w:val="clear" w:fill="E8EDF3"/>
          </w:tcPr>
          <w:p>
            <w:pPr>
              <w:spacing w:after="0"/>
            </w:pPr>
            <w:r>
              <w:rPr>
                <w:b/>
                <w:color w:val="1F3B5C"/>
                <w:sz w:val="16"/>
              </w:rPr>
              <w:t>Quem autoriza</w:t>
            </w:r>
          </w:p>
        </w:tc>
        <w:tc>
          <w:tcPr>
            <w:tcW w:type="dxa" w:w="2494"/>
            <w:shd w:val="clear" w:fill="E8EDF3"/>
          </w:tcPr>
          <w:p>
            <w:pPr>
              <w:spacing w:after="0"/>
            </w:pPr>
            <w:r>
              <w:rPr>
                <w:b/>
                <w:color w:val="1F3B5C"/>
                <w:sz w:val="16"/>
              </w:rPr>
              <w:t>Sanção e instrução</w:t>
            </w:r>
          </w:p>
        </w:tc>
        <w:tc>
          <w:tcPr>
            <w:tcW w:type="dxa" w:w="2268"/>
            <w:shd w:val="clear" w:fill="E8EDF3"/>
          </w:tcPr>
          <w:p>
            <w:pPr>
              <w:spacing w:after="0"/>
            </w:pPr>
            <w:r>
              <w:rPr>
                <w:b/>
                <w:color w:val="1F3B5C"/>
                <w:sz w:val="16"/>
              </w:rPr>
              <w:t>Remoção e encerramento</w:t>
            </w:r>
          </w:p>
        </w:tc>
        <w:tc>
          <w:tcPr>
            <w:tcW w:type="dxa" w:w="2494"/>
            <w:shd w:val="clear" w:fill="E8EDF3"/>
          </w:tcPr>
          <w:p>
            <w:pPr>
              <w:spacing w:after="0"/>
            </w:pPr>
            <w:r>
              <w:rPr>
                <w:b/>
                <w:color w:val="1F3B5C"/>
                <w:sz w:val="16"/>
              </w:rPr>
              <w:t>Urbanismo e vizinhança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1. Fração autónoma em propriedade horizontal. Animais do agregado, incluindo varanda e terraço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N.º 2: três cães ou quatro gatos, máximo de quatro; até seis com autorização. O condomínio pode fixar menos (n.º 3)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Até quatro, nada. Até seis, pedido do detentor e pareceres vinculativos do MVM e do delegado de saúde: autorização municipal ¹. Acima de seis, no fogo, não há. Acrescem título constitutivo e deliberações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Al. c) do n.º 3 do art. 14.º do DL 314/2003 ⁴. Instrução: DSAVR. Coima: DGAV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Câmara, após vistoria conjunta ⁵ (n.º 5). Mandado judicial (n.º 6)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Uso diverso do fim e atos proibidos (als. c) e d) do n.º 2 do art. 1422.º CC). Ruído de vizinhança ²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2. Andar em prédio sem propriedade horizontal. Animais do agregado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N.º 2, como acima. O n.º 3 não se aplica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Até quatro, nada. Até seis, pedido do detentor e pareceres vinculativos do MVM e do delegado de saúde: autorização municipal ¹. Acima de seis, no fogo, não há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Al. c) do n.º 3 do art. 14.º do DL 314/2003 ⁴. Instrução: DSAVR. Coima: DGAV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Câmara, após vistoria conjunta ⁵ (n.º 5). Mandado judicial (n.º 6)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Resolução do arrendamento por higiene, sossego e boa vizinhança (al. a) do n.º 2 do art. 1083.º CC). Ruído de vizinhança ²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3. Moradia, com ou sem logradouro, qualquer que seja a dimensão. Animais do agregado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N.º 2, como acima. A área do logradouro não altera o limite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Até quatro, nada. Até seis, pedido do detentor e pareceres vinculativos do MVM e do delegado de saúde: autorização municipal ¹. Acima de seis, no fogo, não há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Al. c) do n.º 3 do art. 14.º do DL 314/2003 ⁴. Instrução: DSAVR. Coima: DGAV. Alcança o logradouro, como terreno anexo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Câmara, após vistoria conjunta ⁵ (n.º 5). Mandado judicial (n.º 6)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Anexos para animais até 1/15 do logradouro, quando autorizados, podendo a câmara interditá-los em zonas de aglomeração (art. 115.º e § único do RGEU). Ruído de vizinhança ²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4. Moradia com alojamento registado em instalações do art. 25.º, no logradouro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No alojamento: capacidade declarada (al. h) do n.º 1 do art. 3.º-A), limitada pelo anexo III. Dentro de casa: n.º 2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Mera comunicação prévia à DGAV (art. 3.º-A), sem vistoria prévia. Obras: RJUE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Al. f) do n.º 1 do art. 68.º do DL 276/2001 ⁶. Instrução: DGAV e OPC. Coima: DGAV ou OPC (art. 70.º). Animais de casa: DL 314/2003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Despacho do diretor-geral (n.º 1 do art. 3.º-G). Execução e recolha: câmaras (n.º 6). Animais de casa: n.º 5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PDM e título de utilização. Anexos até 1/15 do logradouro (art. 115.º RGEU). Atividade ruidosa permanente ²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5. Fração autónoma ou andar com alojamento registado ³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Fração habitacional: a hospedagem sem fins lucrativos está excluída das frações (al. p) do n.º 1 do art. 2.º), logo n.os 2 e 3. Fração comercial ou de serviços: não há fogo, vale a capacidade declarada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Mera comunicação prévia à DGAV. Na fração habitacional, instalar o alojamento é alteração de uso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Al. f) do n.º 1 do art. 68.º do DL 276/2001 ⁶. Instrução: DGAV e OPC. Coima: DGAV ou OPC (art. 70.º)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Despacho do diretor-geral (n.º 1 do art. 3.º-G). Execução e recolha: câmaras (n.º 6)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Uso diverso do fim proibido; silente o título, a alteração exige dois terços do valor do prédio (al. c) do n.º 2 e n.º 4 do art. 1422.º CC). Título de utilização. Ruído ²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6. Prédio urbano sem fogo — loja, armazém, serviços — com alojamento registado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O n.º 2 não tem unidade a que se aplicar. Só a capacidade declarada, limitada pelo anexo III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Mera comunicação prévia à DGAV. Título de utilização compatível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Al. f) do n.º 1 do art. 68.º do DL 276/2001 ⁶. Instrução: DGAV e OPC. Coima: DGAV ou OPC (art. 70.º)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Despacho do diretor-geral (n.º 1 do art. 3.º-G). Execução e recolha: câmaras (n.º 6)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PDM e título de utilização (RJUE). Atividade ruidosa permanente ²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7. Prédio urbano com alojamento de facto, sem registo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Dentro de casa: n.º 2. Nas instalações: sem capacidade declarada e atividade sem título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Ninguém: falta a mera comunicação prévia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Al. a) do n.º 1 do art. 68.º pela falta de título, podendo acrescer a al. f); e a al. c) do n.º 3 do art. 14.º do DL 314/2003 ⁴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Câmara, após vistoria conjunta ⁵ (n.º 5). Mandado judicial (n.º 6). Recolha pela DGAV com as câmaras e pelas polícias (n.º 8 do art. 19.º). Art. 3.º-G sem registo: discutível *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Operações urbanísticas não licenciadas (RJUE). Ruído ²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8. Prédio misto. Animais no fogo da parte urbana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N.º 2 quanto ao fogo; n.º 4 quanto ao prédio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Até quatro, nada. Até seis, pedido do detentor e pareceres vinculativos do MVM e do delegado de saúde: autorização municipal ¹. Acima de seis, no fogo, não há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Al. c) do n.º 3 do art. 14.º do DL 314/2003 ⁴. Instrução: DSAVR. Coima: DGAV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Câmara, após vistoria conjunta ⁵ (n.º 5). Mandado judicial (n.º 6)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Ruído de vizinhança ²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9. Prédio misto. Animais no logradouro ou na parte rústica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N.º 4: seis, excedíveis se a dimensão do terreno o permitir, sem teto fixo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Sem autorização prévia. A dimensão do terreno é apreciada em caso de controlo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Al. c) do n.º 3 do art. 14.º ⁴ no terreno anexo à habitação; na parte rústica afastada, cobertura duvidosa. Instrução: DSAVR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Câmara, após vistoria conjunta ⁵ (n.º 5). Mandado judicial (n.º 6)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PDM. Ruído de vizinhança ou atividade ruidosa permanente, conforme o caso ²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10. Prédio misto com alojamento registado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No alojamento: anexo III. No fogo: n.º 2. Restantes espaços: n.º 4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Mera comunicação prévia à DGAV. Obras: RJUE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Al. f) do n.º 1 do art. 68.º do DL 276/2001 ⁶. Instrução: DGAV e OPC. Coima: DGAV ou OPC (art. 70.º)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Despacho do diretor-geral (n.º 1 do art. 3.º-G). Execução e recolha: câmaras (n.º 6)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PDM, conforme o solo seja rústico ou urbano. Atividade ruidosa permanente ²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11. Prédio rústico sem habitação nem atividade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N.º 4: seis, excedíveis se a dimensão do terreno o permitir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Sem autorização prévia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Sem tipo contraordenacional no DL 314/2003: não há habitação nem terreno anexo a ela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Câmara, após vistoria conjunta ⁵ (n.º 5). Mandado judicial (n.º 6). É o único remédio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PDM. Ruído ²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12. Prédio rústico com alojamento registado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Capacidade declarada, limitada pelo anexo III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Mera comunicação prévia à DGAV. Edificação sujeita ao regime do solo e ao RJUE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Al. f) do n.º 1 do art. 68.º do DL 276/2001 ⁶. Instrução: DGAV e OPC. Coima: DGAV ou OPC (art. 70.º)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Despacho do diretor-geral (n.º 1 do art. 3.º-G). Execução e recolha: câmaras (n.º 6)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Regime do solo rústico (PDM). Atividade ruidosa permanente ²</w:t>
            </w:r>
          </w:p>
        </w:tc>
      </w:tr>
      <w:tr>
        <w:tc>
          <w:tcPr>
            <w:tcW w:type="dxa" w:w="2381"/>
          </w:tcPr>
          <w:p>
            <w:pPr>
              <w:spacing w:after="0"/>
              <w:jc w:val="left"/>
            </w:pPr>
            <w:r>
              <w:rPr>
                <w:b/>
                <w:sz w:val="14"/>
              </w:rPr>
              <w:t>13. Prédio rústico ou misto com alojamento de facto, sem registo</w:t>
            </w:r>
          </w:p>
        </w:tc>
        <w:tc>
          <w:tcPr>
            <w:tcW w:type="dxa" w:w="2608"/>
          </w:tcPr>
          <w:p>
            <w:pPr>
              <w:spacing w:after="0"/>
              <w:jc w:val="left"/>
            </w:pPr>
            <w:r>
              <w:rPr>
                <w:sz w:val="14"/>
              </w:rPr>
              <w:t>N.º 4 quanto ao prédio. Atividade sem título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Ninguém: falta a mera comunicação prévia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Als. a) e f) do n.º 1 do art. 68.º do DL 276/2001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>
              <w:rPr>
                <w:sz w:val="14"/>
              </w:rPr>
              <w:t>Câmara, após vistoria conjunta ⁵ (n.º 5). Mandado judicial (n.º 6). Recolha pela DGAV com as câmaras e pelas polícias (n.º 8 do art. 19.º). Art. 3.º-G sem registo: discutível *</w:t>
            </w:r>
          </w:p>
        </w:tc>
        <w:tc>
          <w:tcPr>
            <w:tcW w:type="dxa" w:w="2494"/>
          </w:tcPr>
          <w:p>
            <w:pPr>
              <w:spacing w:after="0"/>
              <w:jc w:val="left"/>
            </w:pPr>
            <w:r>
              <w:rPr>
                <w:sz w:val="14"/>
              </w:rPr>
              <w:t>Operações urbanísticas não licenciadas (RJUE). Ruído ²</w:t>
            </w:r>
          </w:p>
        </w:tc>
      </w:tr>
    </w:tbl>
    <w:p/>
    <w:p>
      <w:pPr>
        <w:spacing w:after="60"/>
        <w:jc w:val="both"/>
      </w:pPr>
      <w:r>
        <w:rPr>
          <w:color w:val="1A1A1A"/>
          <w:sz w:val="15"/>
        </w:rPr>
        <w:t>O n.º 1 do artigo 3.º do Decreto-Lei n.º 314/2003 — alojamento condicionado a boas condições e à ausência de riscos hígio-sanitários — aplica-se em todos os casos, com ou sem registo, e não se repete no quadro. Contam-se apenas os animais adultos, com um ano ou mais (als. f) e g) do art. 2.º). O registo de um alojamento não altera a contagem dos animais que vivem dentro do fogo.</w:t>
      </w:r>
    </w:p>
    <w:p>
      <w:pPr>
        <w:spacing w:after="60"/>
        <w:jc w:val="both"/>
      </w:pPr>
      <w:r>
        <w:rPr>
          <w:color w:val="595959"/>
          <w:sz w:val="15"/>
        </w:rPr>
        <w:t>¹ A autorização é municipal: o n.º 2 do artigo 3.º não nomeia o órgão, mas o n.º 5 comete a execução do artigo às câmaras municipais e os pareceres vinculativos são do médico veterinário municipal e do delegado de saúde. Qual o órgão do município — câmara ou presidente — depende do regulamento de cada município; o Regulamento n.º 181/2025 do Município do Cartaxo prevê requerimento ao presidente da câmara e vistoria conjunta (art. 13.º).</w:t>
      </w:r>
    </w:p>
    <w:p>
      <w:pPr>
        <w:spacing w:after="60"/>
        <w:jc w:val="both"/>
      </w:pPr>
      <w:r>
        <w:rPr>
          <w:color w:val="595959"/>
          <w:sz w:val="15"/>
        </w:rPr>
        <w:t>² Regulamento Geral do Ruído, aprovado pelo Decreto-Lei n.º 9/2007, de 17 de janeiro, na redação do Decreto-Lei n.º 278/2007, de 1 de agosto, que alterou apenas o artigo 4.º daquele decreto-lei e o artigo 15.º do Regulamento — nenhuma das normas aqui invocadas. Os animais do agregado produzem ruído de vizinhança, fiscalizado pelas autoridades policiais, que podem ordenar a cessação imediata entre as 23 e as 7 horas (art. 24.º). O alojamento é atividade ruidosa permanente, sujeita a valores limite e ao critério de incomodidade (art. 13.º) e fiscalizada pela entidade licenciadora e pelas câmaras municipais (art. 26.º).</w:t>
      </w:r>
    </w:p>
    <w:p>
      <w:pPr>
        <w:spacing w:after="60"/>
        <w:jc w:val="both"/>
      </w:pPr>
      <w:r>
        <w:rPr>
          <w:color w:val="595959"/>
          <w:sz w:val="15"/>
        </w:rPr>
        <w:t>³ O caso 5 não foi analisado no estudo. A construção é nova, feita a partir da alínea p) do n.º 1 do artigo 2.º do Decreto-Lei n.º 276/2001 e do artigo 1422.º do Código Civil, e distingue a fração destinada a habitação da fração destinada a comércio ou serviços.</w:t>
      </w:r>
    </w:p>
    <w:p>
      <w:pPr>
        <w:spacing w:after="60"/>
        <w:jc w:val="both"/>
      </w:pPr>
      <w:r>
        <w:rPr>
          <w:color w:val="595959"/>
          <w:sz w:val="15"/>
        </w:rPr>
        <w:t>⁴ A alínea pune «a permanência de cães e gatos em habitações e terrenos anexos em desrespeito pelas condições previstas no artigo 3.º». Coima de 50 a 3740 euros, ou até 44 890 euros se o agente for pessoa coletiva (n.º 3 do art. 14.º).</w:t>
      </w:r>
    </w:p>
    <w:p>
      <w:pPr>
        <w:spacing w:after="60"/>
        <w:jc w:val="both"/>
      </w:pPr>
      <w:r>
        <w:rPr>
          <w:color w:val="595959"/>
          <w:sz w:val="15"/>
        </w:rPr>
        <w:t>⁵ Vistoria conjunta do delegado de saúde e do médico veterinário municipal. A câmara notifica o detentor para retirar os animais para o canil ou gatil municipal no prazo que aquelas entidades fixarem, caso o detentor não opte por outro destino que reúna as condições legais. O mandado judicial é pedido pelo presidente da câmara.</w:t>
      </w:r>
    </w:p>
    <w:p>
      <w:pPr>
        <w:spacing w:after="60"/>
        <w:jc w:val="both"/>
      </w:pPr>
      <w:r>
        <w:rPr>
          <w:color w:val="595959"/>
          <w:sz w:val="15"/>
        </w:rPr>
        <w:t>⁶ Contraordenação económica grave, punível nos termos do regime jurídico das contraordenações económicas.</w:t>
      </w:r>
    </w:p>
    <w:p>
      <w:pPr>
        <w:spacing w:after="60"/>
        <w:jc w:val="both"/>
      </w:pPr>
      <w:r>
        <w:rPr>
          <w:color w:val="595959"/>
          <w:sz w:val="15"/>
        </w:rPr>
        <w:t>* Ponto por confirmar: se o artigo 3.º-G do Decreto-Lei n.º 276/2001, que permite ao diretor-geral suspender a atividade ou encerrar o alojamento, se aplica a um alojamento que nunca foi registado.</w:t>
      </w:r>
    </w:p>
    <w:p>
      <w:pPr>
        <w:spacing w:after="60"/>
        <w:jc w:val="both"/>
      </w:pPr>
      <w:r>
        <w:rPr>
          <w:color w:val="595959"/>
          <w:sz w:val="15"/>
        </w:rPr>
        <w:t>A justificação de cada campo, com os textos legais conferidos no Diário da República, consta do anexo «Casos-tipo e análise», de 9 de outubro de 2026.</w:t>
      </w:r>
    </w:p>
    <w:sectPr w:rsidR="00FC693F" w:rsidRPr="0006063C" w:rsidSect="00034616">
      <w:pgSz w:w="16838" w:h="11906" w:orient="landscape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