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FEF9" w14:textId="73DE2737" w:rsidR="00D30AD5" w:rsidRPr="003D298B" w:rsidRDefault="003D298B" w:rsidP="00C55284">
      <w:pPr>
        <w:spacing w:after="120" w:line="240" w:lineRule="auto"/>
        <w:jc w:val="both"/>
        <w:rPr>
          <w:rStyle w:val="xnormaltextrun"/>
          <w:rFonts w:ascii="Calibri Light" w:hAnsi="Calibri Light" w:cs="Calibri Light"/>
          <w:b/>
        </w:rPr>
      </w:pPr>
      <w:r>
        <w:rPr>
          <w:rStyle w:val="xnormaltextrun"/>
          <w:rFonts w:ascii="Calibri Light" w:hAnsi="Calibri Light" w:cs="Calibri Light"/>
          <w:b/>
        </w:rPr>
        <w:t>1.</w:t>
      </w:r>
      <w:r w:rsidR="00291672" w:rsidRPr="003D298B">
        <w:rPr>
          <w:rStyle w:val="xnormaltextrun"/>
          <w:rFonts w:ascii="Calibri Light" w:hAnsi="Calibri Light" w:cs="Calibri Light"/>
          <w:b/>
        </w:rPr>
        <w:t>ENQUADRAMENTO LEGAL DE ALOJAMENTOS FACE AOS PLANOS DIRETORES MUNICIPAIS (PDM`S)</w:t>
      </w:r>
    </w:p>
    <w:p w14:paraId="3789A6FB" w14:textId="77777777" w:rsidR="00D30AD5" w:rsidRDefault="00D30AD5" w:rsidP="00C55284">
      <w:pPr>
        <w:spacing w:after="120" w:line="240" w:lineRule="auto"/>
        <w:jc w:val="both"/>
        <w:rPr>
          <w:rStyle w:val="xnormaltextrun"/>
          <w:rFonts w:ascii="Calibri Light" w:hAnsi="Calibri Light" w:cs="Calibri Light"/>
          <w:b/>
        </w:rPr>
      </w:pPr>
    </w:p>
    <w:p w14:paraId="34170305" w14:textId="041B360E" w:rsidR="00DB4862" w:rsidRPr="00DB4862" w:rsidRDefault="006E07BF" w:rsidP="00C55284">
      <w:pPr>
        <w:spacing w:after="120" w:line="240" w:lineRule="auto"/>
        <w:jc w:val="both"/>
        <w:rPr>
          <w:rStyle w:val="xnormaltextrun"/>
          <w:rFonts w:ascii="Calibri Light" w:hAnsi="Calibri Light" w:cs="Calibri Light"/>
          <w:b/>
        </w:rPr>
      </w:pPr>
      <w:r>
        <w:rPr>
          <w:rStyle w:val="xnormaltextrun"/>
          <w:rFonts w:ascii="Calibri Light" w:hAnsi="Calibri Light" w:cs="Calibri Light"/>
          <w:b/>
        </w:rPr>
        <w:t>1.</w:t>
      </w:r>
      <w:r w:rsidR="003D298B">
        <w:rPr>
          <w:rStyle w:val="xnormaltextrun"/>
          <w:rFonts w:ascii="Calibri Light" w:hAnsi="Calibri Light" w:cs="Calibri Light"/>
          <w:b/>
        </w:rPr>
        <w:t>1</w:t>
      </w:r>
      <w:r>
        <w:rPr>
          <w:rStyle w:val="xnormaltextrun"/>
          <w:rFonts w:ascii="Calibri Light" w:hAnsi="Calibri Light" w:cs="Calibri Light"/>
          <w:b/>
        </w:rPr>
        <w:t xml:space="preserve"> </w:t>
      </w:r>
      <w:r w:rsidR="00DB4862" w:rsidRPr="00DB4862">
        <w:rPr>
          <w:rStyle w:val="xnormaltextrun"/>
          <w:rFonts w:ascii="Calibri Light" w:hAnsi="Calibri Light" w:cs="Calibri Light"/>
          <w:b/>
        </w:rPr>
        <w:t>Alojamentos licenciados pela DGAV/ICNF, com n.º de alojamento, mas com construções não licenciada</w:t>
      </w:r>
      <w:r w:rsidR="009330D9">
        <w:rPr>
          <w:rStyle w:val="xnormaltextrun"/>
          <w:rFonts w:ascii="Calibri Light" w:hAnsi="Calibri Light" w:cs="Calibri Light"/>
          <w:b/>
        </w:rPr>
        <w:t>s</w:t>
      </w:r>
      <w:r w:rsidR="00DB4862" w:rsidRPr="00DB4862">
        <w:rPr>
          <w:rStyle w:val="xnormaltextrun"/>
          <w:rFonts w:ascii="Calibri Light" w:hAnsi="Calibri Light" w:cs="Calibri Light"/>
          <w:b/>
        </w:rPr>
        <w:t xml:space="preserve"> ou sem l</w:t>
      </w:r>
      <w:r w:rsidR="00EE3259">
        <w:rPr>
          <w:rStyle w:val="xnormaltextrun"/>
          <w:rFonts w:ascii="Calibri Light" w:hAnsi="Calibri Light" w:cs="Calibri Light"/>
          <w:b/>
        </w:rPr>
        <w:t>icença camarária de utilização.</w:t>
      </w:r>
    </w:p>
    <w:p w14:paraId="78386580" w14:textId="3C4E0495" w:rsidR="003D298B" w:rsidRDefault="003D298B" w:rsidP="00C55284">
      <w:pPr>
        <w:spacing w:after="120" w:line="240" w:lineRule="auto"/>
        <w:jc w:val="both"/>
        <w:rPr>
          <w:rStyle w:val="xnormaltextrun"/>
          <w:rFonts w:ascii="Calibri Light" w:hAnsi="Calibri Light" w:cs="Calibri Light"/>
        </w:rPr>
      </w:pPr>
      <w:r>
        <w:rPr>
          <w:rStyle w:val="xnormaltextrun"/>
          <w:rFonts w:ascii="Calibri Light" w:hAnsi="Calibri Light" w:cs="Calibri Light"/>
        </w:rPr>
        <w:t xml:space="preserve">Nestas situações temos </w:t>
      </w:r>
      <w:r w:rsidR="009C0D5A">
        <w:rPr>
          <w:rStyle w:val="xnormaltextrun"/>
          <w:rFonts w:ascii="Calibri Light" w:hAnsi="Calibri Light" w:cs="Calibri Light"/>
        </w:rPr>
        <w:t>duas</w:t>
      </w:r>
      <w:r>
        <w:rPr>
          <w:rStyle w:val="xnormaltextrun"/>
          <w:rFonts w:ascii="Calibri Light" w:hAnsi="Calibri Light" w:cs="Calibri Light"/>
        </w:rPr>
        <w:t xml:space="preserve"> tipologias:</w:t>
      </w:r>
    </w:p>
    <w:p w14:paraId="7AF238D2" w14:textId="2C66A804" w:rsidR="003D298B" w:rsidRPr="009C0D5A" w:rsidRDefault="003D298B" w:rsidP="00CA61E5">
      <w:pPr>
        <w:pStyle w:val="PargrafodaLista"/>
        <w:numPr>
          <w:ilvl w:val="0"/>
          <w:numId w:val="13"/>
        </w:numPr>
        <w:spacing w:after="120" w:line="240" w:lineRule="auto"/>
        <w:jc w:val="both"/>
        <w:rPr>
          <w:rStyle w:val="xnormaltextrun"/>
          <w:rFonts w:ascii="Calibri Light" w:hAnsi="Calibri Light" w:cs="Calibri Light"/>
        </w:rPr>
      </w:pPr>
      <w:r w:rsidRPr="009C0D5A">
        <w:rPr>
          <w:rStyle w:val="xnormaltextrun"/>
          <w:rFonts w:ascii="Calibri Light" w:hAnsi="Calibri Light" w:cs="Calibri Light"/>
        </w:rPr>
        <w:t>Alojamentos em que temos conhecimento formal pelo município da ilegalidade das infraestruturas de alojamento;</w:t>
      </w:r>
    </w:p>
    <w:p w14:paraId="794868DB" w14:textId="1FDF36B3" w:rsidR="003D298B" w:rsidRDefault="003D298B" w:rsidP="00CA61E5">
      <w:pPr>
        <w:pStyle w:val="PargrafodaLista"/>
        <w:numPr>
          <w:ilvl w:val="0"/>
          <w:numId w:val="13"/>
        </w:numPr>
        <w:spacing w:after="120" w:line="240" w:lineRule="auto"/>
        <w:jc w:val="both"/>
        <w:rPr>
          <w:rStyle w:val="xnormaltextrun"/>
          <w:rFonts w:ascii="Calibri Light" w:hAnsi="Calibri Light" w:cs="Calibri Light"/>
        </w:rPr>
      </w:pPr>
      <w:r w:rsidRPr="009C0D5A">
        <w:rPr>
          <w:rStyle w:val="xnormaltextrun"/>
          <w:rFonts w:ascii="Calibri Light" w:hAnsi="Calibri Light" w:cs="Calibri Light"/>
        </w:rPr>
        <w:t>Alojamentos que não temos conhecimento da legalidade das infraestruturas de alojamento;</w:t>
      </w:r>
    </w:p>
    <w:p w14:paraId="4333836D" w14:textId="77777777" w:rsidR="00F8406B" w:rsidRDefault="00F8406B" w:rsidP="00C55284">
      <w:pPr>
        <w:spacing w:after="120" w:line="240" w:lineRule="auto"/>
        <w:jc w:val="both"/>
        <w:rPr>
          <w:rStyle w:val="xnormaltextrun"/>
          <w:rFonts w:ascii="Calibri Light" w:hAnsi="Calibri Light" w:cs="Calibri Light"/>
        </w:rPr>
      </w:pPr>
    </w:p>
    <w:p w14:paraId="6AABF758" w14:textId="00FE7367" w:rsidR="00F8406B" w:rsidRPr="00DC737E" w:rsidRDefault="00F8406B" w:rsidP="00C55284">
      <w:pPr>
        <w:pStyle w:val="PargrafodaLista"/>
        <w:numPr>
          <w:ilvl w:val="0"/>
          <w:numId w:val="8"/>
        </w:numPr>
        <w:spacing w:after="120" w:line="240" w:lineRule="auto"/>
        <w:jc w:val="both"/>
        <w:rPr>
          <w:rStyle w:val="xnormaltextrun"/>
          <w:rFonts w:ascii="Calibri Light" w:hAnsi="Calibri Light" w:cs="Calibri Light"/>
          <w:b/>
          <w:bCs/>
        </w:rPr>
      </w:pPr>
      <w:r w:rsidRPr="00DC737E">
        <w:rPr>
          <w:rStyle w:val="xnormaltextrun"/>
          <w:rFonts w:ascii="Calibri Light" w:hAnsi="Calibri Light" w:cs="Calibri Light"/>
          <w:b/>
          <w:bCs/>
        </w:rPr>
        <w:t>Qual o procedimento a adotar</w:t>
      </w:r>
      <w:r w:rsidR="00DC737E" w:rsidRPr="00DC737E">
        <w:rPr>
          <w:rStyle w:val="xnormaltextrun"/>
          <w:rFonts w:ascii="Calibri Light" w:hAnsi="Calibri Light" w:cs="Calibri Light"/>
          <w:b/>
          <w:bCs/>
        </w:rPr>
        <w:t xml:space="preserve"> pelo ICNF nas situações atrás referidas</w:t>
      </w:r>
      <w:r w:rsidRPr="00DC737E">
        <w:rPr>
          <w:rStyle w:val="xnormaltextrun"/>
          <w:rFonts w:ascii="Calibri Light" w:hAnsi="Calibri Light" w:cs="Calibri Light"/>
          <w:b/>
          <w:bCs/>
        </w:rPr>
        <w:t>,</w:t>
      </w:r>
      <w:r w:rsidR="00DC737E" w:rsidRPr="00DC737E">
        <w:rPr>
          <w:rStyle w:val="xnormaltextrun"/>
          <w:rFonts w:ascii="Calibri Light" w:hAnsi="Calibri Light" w:cs="Calibri Light"/>
          <w:b/>
          <w:bCs/>
        </w:rPr>
        <w:t xml:space="preserve"> cuja</w:t>
      </w:r>
      <w:r w:rsidRPr="00DC737E">
        <w:rPr>
          <w:rStyle w:val="xnormaltextrun"/>
          <w:rFonts w:ascii="Calibri Light" w:hAnsi="Calibri Light" w:cs="Calibri Light"/>
          <w:b/>
          <w:bCs/>
        </w:rPr>
        <w:t xml:space="preserve"> matéria é da competência municipal, mas o licenciamento </w:t>
      </w:r>
      <w:r w:rsidR="00252FE5" w:rsidRPr="00DC737E">
        <w:rPr>
          <w:rStyle w:val="xnormaltextrun"/>
          <w:rFonts w:ascii="Calibri Light" w:hAnsi="Calibri Light" w:cs="Calibri Light"/>
          <w:b/>
          <w:bCs/>
        </w:rPr>
        <w:t xml:space="preserve">foi </w:t>
      </w:r>
      <w:r w:rsidRPr="00DC737E">
        <w:rPr>
          <w:rStyle w:val="xnormaltextrun"/>
          <w:rFonts w:ascii="Calibri Light" w:hAnsi="Calibri Light" w:cs="Calibri Light"/>
          <w:b/>
          <w:bCs/>
        </w:rPr>
        <w:t xml:space="preserve">emitido </w:t>
      </w:r>
      <w:r w:rsidR="00252FE5" w:rsidRPr="00DC737E">
        <w:rPr>
          <w:rStyle w:val="xnormaltextrun"/>
          <w:rFonts w:ascii="Calibri Light" w:hAnsi="Calibri Light" w:cs="Calibri Light"/>
          <w:b/>
          <w:bCs/>
        </w:rPr>
        <w:t>pelo</w:t>
      </w:r>
      <w:r w:rsidRPr="00DC737E">
        <w:rPr>
          <w:rStyle w:val="xnormaltextrun"/>
          <w:rFonts w:ascii="Calibri Light" w:hAnsi="Calibri Light" w:cs="Calibri Light"/>
          <w:b/>
          <w:bCs/>
        </w:rPr>
        <w:t xml:space="preserve"> ICNF/DGAV</w:t>
      </w:r>
      <w:r w:rsidR="00BA6D58" w:rsidRPr="00DC737E">
        <w:rPr>
          <w:rStyle w:val="xnormaltextrun"/>
          <w:rFonts w:ascii="Calibri Light" w:hAnsi="Calibri Light" w:cs="Calibri Light"/>
          <w:b/>
          <w:bCs/>
        </w:rPr>
        <w:t>?</w:t>
      </w:r>
    </w:p>
    <w:p w14:paraId="5142434C" w14:textId="24CC899E" w:rsidR="009C0D5A" w:rsidRPr="00DC737E" w:rsidRDefault="009C0D5A" w:rsidP="00C55284">
      <w:pPr>
        <w:pStyle w:val="PargrafodaLista"/>
        <w:numPr>
          <w:ilvl w:val="0"/>
          <w:numId w:val="8"/>
        </w:numPr>
        <w:spacing w:after="120" w:line="240" w:lineRule="auto"/>
        <w:jc w:val="both"/>
        <w:rPr>
          <w:rStyle w:val="xnormaltextrun"/>
          <w:rFonts w:ascii="Calibri Light" w:hAnsi="Calibri Light" w:cs="Calibri Light"/>
          <w:b/>
          <w:bCs/>
        </w:rPr>
      </w:pPr>
      <w:r w:rsidRPr="00DC737E">
        <w:rPr>
          <w:rStyle w:val="xnormaltextrun"/>
          <w:rFonts w:ascii="Calibri Light" w:hAnsi="Calibri Light" w:cs="Calibri Light"/>
          <w:b/>
          <w:bCs/>
        </w:rPr>
        <w:t xml:space="preserve">Qual o procedimento a adotar pelo ICNF </w:t>
      </w:r>
      <w:r w:rsidR="00E724D5" w:rsidRPr="00DC737E">
        <w:rPr>
          <w:rStyle w:val="xnormaltextrun"/>
          <w:rFonts w:ascii="Calibri Light" w:hAnsi="Calibri Light" w:cs="Calibri Light"/>
          <w:b/>
          <w:bCs/>
        </w:rPr>
        <w:t>em novos licenciamentos</w:t>
      </w:r>
      <w:r w:rsidRPr="00DC737E">
        <w:rPr>
          <w:rStyle w:val="xnormaltextrun"/>
          <w:rFonts w:ascii="Calibri Light" w:hAnsi="Calibri Light" w:cs="Calibri Light"/>
          <w:b/>
          <w:bCs/>
        </w:rPr>
        <w:t>?</w:t>
      </w:r>
    </w:p>
    <w:p w14:paraId="341264FE" w14:textId="2AE24178" w:rsidR="009C0D5A" w:rsidRPr="00DC737E" w:rsidRDefault="009C0D5A" w:rsidP="00C55284">
      <w:pPr>
        <w:pStyle w:val="PargrafodaLista"/>
        <w:numPr>
          <w:ilvl w:val="0"/>
          <w:numId w:val="8"/>
        </w:numPr>
        <w:spacing w:after="120" w:line="240" w:lineRule="auto"/>
        <w:jc w:val="both"/>
        <w:rPr>
          <w:rStyle w:val="xnormaltextrun"/>
          <w:rFonts w:ascii="Calibri Light" w:hAnsi="Calibri Light" w:cs="Calibri Light"/>
          <w:b/>
          <w:bCs/>
        </w:rPr>
      </w:pPr>
      <w:r w:rsidRPr="00DC737E">
        <w:rPr>
          <w:rStyle w:val="xnormaltextrun"/>
          <w:rFonts w:ascii="Calibri Light" w:hAnsi="Calibri Light" w:cs="Calibri Light"/>
          <w:b/>
          <w:bCs/>
        </w:rPr>
        <w:t>Que documentação é exigível pelo ICNF nesta matéria</w:t>
      </w:r>
      <w:r w:rsidR="00D57A66" w:rsidRPr="00DC737E">
        <w:rPr>
          <w:rStyle w:val="xnormaltextrun"/>
          <w:rFonts w:ascii="Calibri Light" w:hAnsi="Calibri Light" w:cs="Calibri Light"/>
          <w:b/>
          <w:bCs/>
        </w:rPr>
        <w:t>,</w:t>
      </w:r>
      <w:r w:rsidRPr="00DC737E">
        <w:rPr>
          <w:rStyle w:val="xnormaltextrun"/>
          <w:rFonts w:ascii="Calibri Light" w:hAnsi="Calibri Light" w:cs="Calibri Light"/>
          <w:b/>
          <w:bCs/>
        </w:rPr>
        <w:t xml:space="preserve"> para garantir não estar a licenciar alojamentos com construções clandestinas?</w:t>
      </w:r>
    </w:p>
    <w:p w14:paraId="57D13B1B" w14:textId="321ADCCC" w:rsidR="009B3D8F" w:rsidRPr="00DC737E" w:rsidRDefault="00AD40ED" w:rsidP="00C55284">
      <w:pPr>
        <w:pStyle w:val="PargrafodaLista"/>
        <w:numPr>
          <w:ilvl w:val="0"/>
          <w:numId w:val="8"/>
        </w:numPr>
        <w:spacing w:after="120" w:line="240" w:lineRule="auto"/>
        <w:jc w:val="both"/>
        <w:rPr>
          <w:rStyle w:val="xnormaltextrun"/>
          <w:rFonts w:ascii="Calibri Light" w:hAnsi="Calibri Light" w:cs="Calibri Light"/>
          <w:b/>
          <w:bCs/>
        </w:rPr>
      </w:pPr>
      <w:r w:rsidRPr="00DC737E">
        <w:rPr>
          <w:rStyle w:val="xnormaltextrun"/>
          <w:rFonts w:ascii="Calibri Light" w:hAnsi="Calibri Light" w:cs="Calibri Light"/>
          <w:b/>
          <w:bCs/>
        </w:rPr>
        <w:t>A quem cabe a apresentação dos documentos</w:t>
      </w:r>
      <w:r w:rsidR="00BD3811" w:rsidRPr="00DC737E">
        <w:rPr>
          <w:rStyle w:val="xnormaltextrun"/>
          <w:rFonts w:ascii="Calibri Light" w:hAnsi="Calibri Light" w:cs="Calibri Light"/>
          <w:b/>
          <w:bCs/>
        </w:rPr>
        <w:t xml:space="preserve"> que comprovam o cumprimento do Plano Diretor Municipal (licenças de construção),</w:t>
      </w:r>
      <w:r w:rsidRPr="00DC737E">
        <w:rPr>
          <w:rStyle w:val="xnormaltextrun"/>
          <w:rFonts w:ascii="Calibri Light" w:hAnsi="Calibri Light" w:cs="Calibri Light"/>
          <w:b/>
          <w:bCs/>
        </w:rPr>
        <w:t xml:space="preserve"> </w:t>
      </w:r>
      <w:r w:rsidR="00BD3811" w:rsidRPr="00DC737E">
        <w:rPr>
          <w:rStyle w:val="xnormaltextrun"/>
          <w:rFonts w:ascii="Calibri Light" w:hAnsi="Calibri Light" w:cs="Calibri Light"/>
          <w:b/>
          <w:bCs/>
        </w:rPr>
        <w:t>no âmbito de um novo pedido de licenciamento de alojamento</w:t>
      </w:r>
      <w:r w:rsidR="009B3D8F" w:rsidRPr="00DC737E">
        <w:rPr>
          <w:rStyle w:val="xnormaltextrun"/>
          <w:rFonts w:ascii="Calibri Light" w:hAnsi="Calibri Light" w:cs="Calibri Light"/>
          <w:b/>
          <w:bCs/>
        </w:rPr>
        <w:t>? O ICNF solicita estes documentos ao município respetivo ou o requerente faz prova no pedido de licenciamento?</w:t>
      </w:r>
    </w:p>
    <w:p w14:paraId="4B955C85" w14:textId="77777777" w:rsidR="00A071B5" w:rsidRDefault="00A071B5" w:rsidP="00C55284">
      <w:pPr>
        <w:spacing w:after="120" w:line="240" w:lineRule="auto"/>
        <w:jc w:val="both"/>
        <w:rPr>
          <w:rStyle w:val="xnormaltextrun"/>
          <w:rFonts w:ascii="Calibri Light" w:hAnsi="Calibri Light" w:cs="Calibri Light"/>
        </w:rPr>
      </w:pPr>
    </w:p>
    <w:p w14:paraId="071E936C" w14:textId="30274E34" w:rsidR="00CC5A84" w:rsidRDefault="00F04EEA" w:rsidP="00C55284">
      <w:pPr>
        <w:spacing w:after="120" w:line="240" w:lineRule="auto"/>
        <w:jc w:val="both"/>
        <w:rPr>
          <w:rStyle w:val="xnormaltextrun"/>
          <w:rFonts w:ascii="Calibri Light" w:hAnsi="Calibri Light" w:cs="Calibri Light"/>
        </w:rPr>
      </w:pPr>
      <w:r w:rsidRPr="00DC737E">
        <w:rPr>
          <w:rStyle w:val="xnormaltextrun"/>
          <w:rFonts w:ascii="Calibri Light" w:hAnsi="Calibri Light" w:cs="Calibri Light"/>
          <w:b/>
          <w:bCs/>
        </w:rPr>
        <w:t>R:</w:t>
      </w:r>
      <w:r>
        <w:rPr>
          <w:rStyle w:val="xnormaltextrun"/>
          <w:rFonts w:ascii="Calibri Light" w:hAnsi="Calibri Light" w:cs="Calibri Light"/>
        </w:rPr>
        <w:t xml:space="preserve"> </w:t>
      </w:r>
      <w:r w:rsidR="00CC5A84">
        <w:rPr>
          <w:rStyle w:val="xnormaltextrun"/>
          <w:rFonts w:ascii="Calibri Light" w:hAnsi="Calibri Light" w:cs="Calibri Light"/>
        </w:rPr>
        <w:t>O ICNF está vinculado pelo princípio da legalidade. Significa que tem de cumprir e fazer cumprir todas as normas aplicáveis, mesmo que não se relacionem diretamente com as suas competências. Se as edificações que constituem um alojamento são ilegais ou se tal finalidade não consta do alvará de licença de utilização a licença de alojamento não deve ser emitida.</w:t>
      </w:r>
    </w:p>
    <w:p w14:paraId="22128079" w14:textId="1CD4E39E" w:rsidR="00021FAB" w:rsidRDefault="00021FAB" w:rsidP="00C55284">
      <w:pPr>
        <w:spacing w:after="120" w:line="240" w:lineRule="auto"/>
        <w:jc w:val="both"/>
        <w:rPr>
          <w:rStyle w:val="xnormaltextrun"/>
          <w:rFonts w:ascii="Calibri Light" w:hAnsi="Calibri Light" w:cs="Calibri Light"/>
        </w:rPr>
      </w:pPr>
      <w:r>
        <w:rPr>
          <w:rStyle w:val="xnormaltextrun"/>
          <w:rFonts w:ascii="Calibri Light" w:hAnsi="Calibri Light" w:cs="Calibri Light"/>
        </w:rPr>
        <w:t>O problema só se coloca porque o DL 276/2001 partiu do pressuposto que tais situações não se verificariam. Seria prudente que o ICNF incluísse, entre os elementos a solicitar nas comunicações prévias e nas permissões, o alvará de licença de utilização (ou comprovativo da legalidade das edificações afetas ao estabelecimento).</w:t>
      </w:r>
    </w:p>
    <w:p w14:paraId="3AD775E1" w14:textId="0DAC8CA6" w:rsidR="00021FAB" w:rsidRDefault="00021FAB" w:rsidP="00C55284">
      <w:pPr>
        <w:spacing w:after="120" w:line="240" w:lineRule="auto"/>
        <w:jc w:val="both"/>
        <w:rPr>
          <w:rStyle w:val="xnormaltextrun"/>
          <w:rFonts w:ascii="Calibri Light" w:hAnsi="Calibri Light" w:cs="Calibri Light"/>
        </w:rPr>
      </w:pPr>
      <w:r>
        <w:rPr>
          <w:rStyle w:val="xnormaltextrun"/>
          <w:rFonts w:ascii="Calibri Light" w:hAnsi="Calibri Light" w:cs="Calibri Light"/>
        </w:rPr>
        <w:t>As competências do ICNF nesta matéria só resultam da sua LO (DL 46/2021), o que não facilita a vida ao intérprete não especialista (seja, ou não, jurista).</w:t>
      </w:r>
    </w:p>
    <w:p w14:paraId="76D1FCFF" w14:textId="2DCD0B88" w:rsidR="00021FAB" w:rsidRDefault="00021FAB" w:rsidP="00C55284">
      <w:pPr>
        <w:spacing w:after="120" w:line="240" w:lineRule="auto"/>
        <w:jc w:val="both"/>
        <w:rPr>
          <w:rStyle w:val="xnormaltextrun"/>
          <w:rFonts w:ascii="Calibri Light" w:hAnsi="Calibri Light" w:cs="Calibri Light"/>
        </w:rPr>
      </w:pPr>
      <w:r>
        <w:rPr>
          <w:rStyle w:val="xnormaltextrun"/>
          <w:rFonts w:ascii="Calibri Light" w:hAnsi="Calibri Light" w:cs="Calibri Light"/>
        </w:rPr>
        <w:t>Os prédios urbanos (posteriores a 1951) terão sempre de ter um alvará de licença de utilização, mas não tenho a certeza que seja também assim nos prédios rústicos.</w:t>
      </w:r>
    </w:p>
    <w:p w14:paraId="773C1457" w14:textId="71DD216A" w:rsidR="009330D9" w:rsidRDefault="00D2126A" w:rsidP="00C55284">
      <w:pPr>
        <w:spacing w:after="120" w:line="240" w:lineRule="auto"/>
        <w:jc w:val="both"/>
        <w:rPr>
          <w:rStyle w:val="xnormaltextrun"/>
          <w:rFonts w:ascii="Calibri Light" w:hAnsi="Calibri Light" w:cs="Calibri Light"/>
        </w:rPr>
      </w:pPr>
      <w:r>
        <w:rPr>
          <w:rStyle w:val="xnormaltextrun"/>
          <w:rFonts w:ascii="Calibri Light" w:hAnsi="Calibri Light" w:cs="Calibri Light"/>
        </w:rPr>
        <w:t>O problema é do âmbito do RJUE (DL 555/99) e a reposição da legalidade urbanística (RJUE, art.º 102.º e ss.) é uma competência da câmara municipal.</w:t>
      </w:r>
      <w:r w:rsidR="00EE3259">
        <w:rPr>
          <w:rStyle w:val="xnormaltextrun"/>
          <w:rFonts w:ascii="Calibri Light" w:hAnsi="Calibri Light" w:cs="Calibri Light"/>
        </w:rPr>
        <w:t xml:space="preserve"> Se já foi emitida uma licença de alojamento pode-se tentar indagar se a regularização (da irregularidade urbanística) é possível, antes de enveredar por soluções mais drásticas.</w:t>
      </w:r>
    </w:p>
    <w:p w14:paraId="622E6264" w14:textId="77777777" w:rsidR="004E1A07" w:rsidRDefault="009E7571" w:rsidP="00C55284">
      <w:pPr>
        <w:spacing w:after="120" w:line="240" w:lineRule="auto"/>
        <w:jc w:val="both"/>
        <w:rPr>
          <w:rStyle w:val="xnormaltextrun"/>
          <w:rFonts w:ascii="Calibri Light" w:hAnsi="Calibri Light" w:cs="Calibri Light"/>
        </w:rPr>
      </w:pPr>
      <w:r>
        <w:rPr>
          <w:rStyle w:val="xnormaltextrun"/>
          <w:rFonts w:ascii="Calibri Light" w:hAnsi="Calibri Light" w:cs="Calibri Light"/>
        </w:rPr>
        <w:t xml:space="preserve">As câmaras municipais têm competências específicas no âmbito do RJUE. Para efeito da reposição da legalidade urbanística podem determinar, por exemplo, a demolição dos edifícios, a reposição do terreno nas condições anteriores e </w:t>
      </w:r>
      <w:r w:rsidRPr="001C57EF">
        <w:rPr>
          <w:rStyle w:val="xnormaltextrun"/>
          <w:rFonts w:ascii="Calibri Light" w:hAnsi="Calibri Light" w:cs="Calibri Light"/>
        </w:rPr>
        <w:t xml:space="preserve">a </w:t>
      </w:r>
      <w:r w:rsidRPr="001C57EF">
        <w:rPr>
          <w:rFonts w:ascii="Calibri Light" w:hAnsi="Calibri Light" w:cs="Calibri Light"/>
        </w:rPr>
        <w:t>cessação da utilização de edifícios</w:t>
      </w:r>
      <w:r>
        <w:rPr>
          <w:rStyle w:val="xnormaltextrun"/>
          <w:rFonts w:ascii="Calibri Light" w:hAnsi="Calibri Light" w:cs="Calibri Light"/>
        </w:rPr>
        <w:t xml:space="preserve"> (RJUE, art.º 102.º, n.º 2, </w:t>
      </w:r>
      <w:proofErr w:type="spellStart"/>
      <w:r>
        <w:rPr>
          <w:rStyle w:val="xnormaltextrun"/>
          <w:rFonts w:ascii="Calibri Light" w:hAnsi="Calibri Light" w:cs="Calibri Light"/>
        </w:rPr>
        <w:t>als</w:t>
      </w:r>
      <w:proofErr w:type="spellEnd"/>
      <w:r>
        <w:rPr>
          <w:rStyle w:val="xnormaltextrun"/>
          <w:rFonts w:ascii="Calibri Light" w:hAnsi="Calibri Light" w:cs="Calibri Light"/>
        </w:rPr>
        <w:t xml:space="preserve">. e), f) e g)). </w:t>
      </w:r>
    </w:p>
    <w:p w14:paraId="0633AF2D" w14:textId="2E4025A4" w:rsidR="009E7571" w:rsidRDefault="009E7571" w:rsidP="00C55284">
      <w:pPr>
        <w:spacing w:after="120" w:line="240" w:lineRule="auto"/>
        <w:jc w:val="both"/>
        <w:rPr>
          <w:rStyle w:val="xnormaltextrun"/>
          <w:rFonts w:ascii="Calibri Light" w:hAnsi="Calibri Light" w:cs="Calibri Light"/>
        </w:rPr>
      </w:pPr>
      <w:r>
        <w:rPr>
          <w:rStyle w:val="xnormaltextrun"/>
          <w:rFonts w:ascii="Calibri Light" w:hAnsi="Calibri Light" w:cs="Calibri Light"/>
        </w:rPr>
        <w:t>Do ponto de vista jurídico, salvo melhor opinião, qualquer uma delas determinaria a caducidade do licenciamento (do alojamento).</w:t>
      </w:r>
    </w:p>
    <w:p w14:paraId="6DF0D81F" w14:textId="77777777" w:rsidR="00DC737E" w:rsidRDefault="00DC737E" w:rsidP="00C55284">
      <w:pPr>
        <w:spacing w:after="120" w:line="240" w:lineRule="auto"/>
        <w:jc w:val="both"/>
        <w:rPr>
          <w:rStyle w:val="xnormaltextrun"/>
          <w:rFonts w:ascii="Calibri Light" w:hAnsi="Calibri Light" w:cs="Calibri Light"/>
        </w:rPr>
      </w:pPr>
    </w:p>
    <w:p w14:paraId="4B57E687" w14:textId="77777777" w:rsidR="009E7571" w:rsidRDefault="009E7571" w:rsidP="00C55284">
      <w:pPr>
        <w:spacing w:after="120" w:line="240" w:lineRule="auto"/>
        <w:jc w:val="both"/>
        <w:rPr>
          <w:rStyle w:val="xnormaltextrun"/>
          <w:rFonts w:ascii="Calibri Light" w:hAnsi="Calibri Light" w:cs="Calibri Light"/>
        </w:rPr>
      </w:pPr>
    </w:p>
    <w:p w14:paraId="1060822A" w14:textId="77777777" w:rsidR="0038112E" w:rsidRPr="0038112E" w:rsidRDefault="0038112E" w:rsidP="00C55284">
      <w:pPr>
        <w:spacing w:after="120" w:line="240" w:lineRule="auto"/>
        <w:jc w:val="both"/>
        <w:rPr>
          <w:rStyle w:val="xnormaltextrun"/>
          <w:rFonts w:ascii="Calibri Light" w:hAnsi="Calibri Light" w:cs="Calibri Light"/>
          <w:b/>
          <w:bCs/>
        </w:rPr>
      </w:pPr>
      <w:r>
        <w:rPr>
          <w:rStyle w:val="xnormaltextrun"/>
          <w:rFonts w:ascii="Calibri Light" w:hAnsi="Calibri Light" w:cs="Calibri Light"/>
          <w:b/>
        </w:rPr>
        <w:lastRenderedPageBreak/>
        <w:t xml:space="preserve">2. </w:t>
      </w:r>
      <w:r w:rsidRPr="0038112E">
        <w:rPr>
          <w:rStyle w:val="xnormaltextrun"/>
          <w:rFonts w:ascii="Calibri Light" w:hAnsi="Calibri Light" w:cs="Calibri Light"/>
          <w:b/>
          <w:bCs/>
        </w:rPr>
        <w:t>DETENÇÃO</w:t>
      </w:r>
    </w:p>
    <w:p w14:paraId="1C0C35FD" w14:textId="7EB0D487" w:rsidR="0038112E" w:rsidRDefault="00C77089" w:rsidP="00C55284">
      <w:pPr>
        <w:spacing w:after="120" w:line="240" w:lineRule="auto"/>
        <w:jc w:val="both"/>
        <w:rPr>
          <w:rStyle w:val="xnormaltextrun"/>
          <w:rFonts w:ascii="Calibri Light" w:hAnsi="Calibri Light" w:cs="Calibri Light"/>
        </w:rPr>
      </w:pPr>
      <w:r w:rsidRPr="00C77089">
        <w:rPr>
          <w:rStyle w:val="xnormaltextrun"/>
          <w:rFonts w:ascii="Calibri Light" w:hAnsi="Calibri Light" w:cs="Calibri Light"/>
          <w:b/>
        </w:rPr>
        <w:t xml:space="preserve">A DETENÇÃO DE ANIMAIS EM PRÉDIOS URBANOS, </w:t>
      </w:r>
      <w:proofErr w:type="spellStart"/>
      <w:r w:rsidRPr="00C77089">
        <w:rPr>
          <w:rStyle w:val="xnormaltextrun"/>
          <w:rFonts w:ascii="Calibri Light" w:hAnsi="Calibri Light" w:cs="Calibri Light"/>
          <w:b/>
        </w:rPr>
        <w:t>ART.º</w:t>
      </w:r>
      <w:proofErr w:type="spellEnd"/>
      <w:r w:rsidRPr="00C77089">
        <w:rPr>
          <w:rStyle w:val="xnormaltextrun"/>
          <w:rFonts w:ascii="Calibri Light" w:hAnsi="Calibri Light" w:cs="Calibri Light"/>
          <w:b/>
        </w:rPr>
        <w:t xml:space="preserve"> 3.º, DO D.L. N.º 314/2003, DE 17 DE DEZEMBRO, APLICA-SE A ALOJAMENTOS, COM E SEM FINS LUCRATIVOS?</w:t>
      </w:r>
    </w:p>
    <w:p w14:paraId="55E26F38" w14:textId="6AD19A66" w:rsidR="00DC737E" w:rsidRDefault="00DC737E" w:rsidP="00C55284">
      <w:pPr>
        <w:spacing w:after="120" w:line="240" w:lineRule="auto"/>
        <w:jc w:val="both"/>
        <w:rPr>
          <w:rStyle w:val="xnormaltextrun"/>
          <w:rFonts w:ascii="Calibri Light" w:hAnsi="Calibri Light" w:cs="Calibri Light"/>
        </w:rPr>
      </w:pPr>
    </w:p>
    <w:p w14:paraId="21B38D22" w14:textId="77777777" w:rsidR="00C77089" w:rsidRDefault="00C77089" w:rsidP="00C55284">
      <w:pPr>
        <w:jc w:val="both"/>
      </w:pPr>
      <w:r>
        <w:t xml:space="preserve">2.1. O D.L. n.º 314/2003, de 17 de Dezembro, na sua redação atual, </w:t>
      </w:r>
      <w:r w:rsidRPr="00A351EB">
        <w:t>PROGRAMA NACIONAL DE LUTA E VIGILÂNCIA EPIDEMIOLÓGICA DA RAIVA</w:t>
      </w:r>
      <w:r>
        <w:t>, define:</w:t>
      </w:r>
    </w:p>
    <w:p w14:paraId="003A16D0" w14:textId="77777777" w:rsidR="00C77089" w:rsidRDefault="00C77089" w:rsidP="00C55284">
      <w:pPr>
        <w:pStyle w:val="PargrafodaLista"/>
        <w:numPr>
          <w:ilvl w:val="0"/>
          <w:numId w:val="9"/>
        </w:numPr>
        <w:jc w:val="both"/>
      </w:pPr>
      <w:r>
        <w:t>No seu preâmbulo refere que “</w:t>
      </w:r>
      <w:r w:rsidRPr="00A351EB">
        <w:t>Para a prossecução daquele objetivo e do controlo de outras zoonoses, torna-se ainda necessária a regulamentação das diversas atividades lúdicas e comerciais relacionadas com aquelas espécies, de forma a permitir o controlo da sua saúde estabelecendo-se as regras que devem reger o comércio de animais de companhia e as exposições, bem como a entrada de cães, gatos e outros animais de companhia suscetíveis à raiva em território nacional.</w:t>
      </w:r>
      <w:r>
        <w:t>”;</w:t>
      </w:r>
    </w:p>
    <w:p w14:paraId="4F89EBA6" w14:textId="77777777" w:rsidR="00C77089" w:rsidRDefault="00C77089" w:rsidP="00C55284">
      <w:pPr>
        <w:pStyle w:val="PargrafodaLista"/>
        <w:numPr>
          <w:ilvl w:val="0"/>
          <w:numId w:val="9"/>
        </w:numPr>
        <w:jc w:val="both"/>
      </w:pPr>
      <w:r>
        <w:t>No seu art.º 2.º estabelece como “</w:t>
      </w:r>
      <w:r w:rsidRPr="00A351EB">
        <w:t>Detentor qualquer pessoa, singular ou coletiva, responsável pelos animais de companhia para efeitos de reprodução, criação, manutenção, acomodação ou utiliza</w:t>
      </w:r>
      <w:r>
        <w:t>ção, com ou sem fins comerciais”;</w:t>
      </w:r>
    </w:p>
    <w:p w14:paraId="79222116" w14:textId="77777777" w:rsidR="00C77089" w:rsidRDefault="00C77089" w:rsidP="00C55284">
      <w:pPr>
        <w:pStyle w:val="PargrafodaLista"/>
        <w:numPr>
          <w:ilvl w:val="0"/>
          <w:numId w:val="9"/>
        </w:numPr>
        <w:jc w:val="both"/>
      </w:pPr>
      <w:r>
        <w:t>No seu art.º 3º, em prédios urbanos, determina um limite máximo de animais adultos a alojar (6), que nem a a</w:t>
      </w:r>
      <w:r w:rsidRPr="00AE602D">
        <w:t xml:space="preserve">utoridade sanitária </w:t>
      </w:r>
      <w:proofErr w:type="gramStart"/>
      <w:r w:rsidRPr="00AE602D">
        <w:t xml:space="preserve">veterinária concelhia </w:t>
      </w:r>
      <w:r>
        <w:t>em conjunto com a autoridade de saúde podem</w:t>
      </w:r>
      <w:proofErr w:type="gramEnd"/>
      <w:r>
        <w:t xml:space="preserve"> autorizar ser excedido;</w:t>
      </w:r>
    </w:p>
    <w:p w14:paraId="2D5C32CB" w14:textId="1585151B" w:rsidR="00C77089" w:rsidRDefault="00C77089" w:rsidP="00C55284">
      <w:pPr>
        <w:pStyle w:val="PargrafodaLista"/>
        <w:numPr>
          <w:ilvl w:val="0"/>
          <w:numId w:val="9"/>
        </w:numPr>
        <w:jc w:val="both"/>
      </w:pPr>
      <w:r>
        <w:t>No seu art.º 14.º estipula que “</w:t>
      </w:r>
      <w:r w:rsidRPr="00BC4AA2">
        <w:t>A permanência de cães e gatos em habitações e terrenos anexos em desrespeito pelas condições previstas no artigo 3.º</w:t>
      </w:r>
      <w:r>
        <w:t xml:space="preserve">” é sujeita a </w:t>
      </w:r>
      <w:proofErr w:type="spellStart"/>
      <w:r>
        <w:t>contra</w:t>
      </w:r>
      <w:r w:rsidR="00C55284">
        <w:t>-</w:t>
      </w:r>
      <w:r>
        <w:t>ordenação</w:t>
      </w:r>
      <w:proofErr w:type="spellEnd"/>
      <w:r>
        <w:t>.</w:t>
      </w:r>
    </w:p>
    <w:p w14:paraId="45155B81" w14:textId="77777777" w:rsidR="00C77089" w:rsidRDefault="00C77089" w:rsidP="00C55284">
      <w:pPr>
        <w:jc w:val="both"/>
      </w:pPr>
    </w:p>
    <w:p w14:paraId="5F6441D2" w14:textId="77777777" w:rsidR="00C77089" w:rsidRDefault="00C77089" w:rsidP="00C55284">
      <w:pPr>
        <w:jc w:val="both"/>
      </w:pPr>
      <w:r>
        <w:t xml:space="preserve">2.2. O D.L. n.º 276/2001, de 17 de </w:t>
      </w:r>
      <w:proofErr w:type="gramStart"/>
      <w:r>
        <w:t>Outubro</w:t>
      </w:r>
      <w:proofErr w:type="gramEnd"/>
      <w:r>
        <w:t xml:space="preserve">, na sua redação atual, </w:t>
      </w:r>
      <w:r w:rsidRPr="00BC4AA2">
        <w:t>APLICAÇÃO DA CONVENÇÃO EUROPEIA P/PROTECÇÃO ANIMAIS COMPANHIA</w:t>
      </w:r>
      <w:r>
        <w:t>, define:</w:t>
      </w:r>
    </w:p>
    <w:p w14:paraId="243E0CF4" w14:textId="77777777" w:rsidR="00C77089" w:rsidRDefault="00C77089" w:rsidP="00C55284">
      <w:pPr>
        <w:pStyle w:val="PargrafodaLista"/>
        <w:numPr>
          <w:ilvl w:val="0"/>
          <w:numId w:val="10"/>
        </w:numPr>
        <w:jc w:val="both"/>
      </w:pPr>
      <w:r>
        <w:t xml:space="preserve">No </w:t>
      </w:r>
      <w:r w:rsidRPr="004142E9">
        <w:t>seu art.º 2.º estabelece como</w:t>
      </w:r>
      <w:r>
        <w:t xml:space="preserve"> </w:t>
      </w:r>
      <w:r w:rsidRPr="004142E9">
        <w:t xml:space="preserve">«Detentor» </w:t>
      </w:r>
      <w:r>
        <w:t xml:space="preserve">exatamente a mesma definição do D.L. nº 314/2003, de 17 de </w:t>
      </w:r>
      <w:proofErr w:type="gramStart"/>
      <w:r>
        <w:t>Dezembro</w:t>
      </w:r>
      <w:proofErr w:type="gramEnd"/>
      <w:r>
        <w:t>;</w:t>
      </w:r>
    </w:p>
    <w:p w14:paraId="7B83A32F" w14:textId="77777777" w:rsidR="00C77089" w:rsidRDefault="00C77089" w:rsidP="00C55284">
      <w:pPr>
        <w:pStyle w:val="PargrafodaLista"/>
        <w:numPr>
          <w:ilvl w:val="0"/>
          <w:numId w:val="11"/>
        </w:numPr>
        <w:jc w:val="both"/>
      </w:pPr>
      <w:r>
        <w:t xml:space="preserve">As dimensões definidas no seu Anexo III referentes ao alojamento de cães e gatos, não sofreram alterações desde a sua publicação inicial, apesar de este decreto ter sido alterado diversas vezes, inclusive pelo D.L. 315/2003, de 17 de </w:t>
      </w:r>
      <w:proofErr w:type="gramStart"/>
      <w:r>
        <w:t>Dezembro</w:t>
      </w:r>
      <w:proofErr w:type="gramEnd"/>
      <w:r>
        <w:t xml:space="preserve">, publicado no mesmo dia do D.L. nº 314/2003. </w:t>
      </w:r>
    </w:p>
    <w:p w14:paraId="04184B46" w14:textId="77777777" w:rsidR="00C77089" w:rsidRDefault="00C77089" w:rsidP="00C55284">
      <w:pPr>
        <w:pStyle w:val="PargrafodaLista"/>
        <w:numPr>
          <w:ilvl w:val="0"/>
          <w:numId w:val="11"/>
        </w:numPr>
        <w:jc w:val="both"/>
      </w:pPr>
      <w:r w:rsidRPr="00B226A5">
        <w:t>A capacidade máxima de animais e respetivas espécies a alojar</w:t>
      </w:r>
      <w:r>
        <w:t xml:space="preserve"> é definida no formulário da mera comunicação prévia ou permissão administrativa, que é entregue pelo requerente;</w:t>
      </w:r>
    </w:p>
    <w:p w14:paraId="330C6006" w14:textId="77777777" w:rsidR="00C77089" w:rsidRDefault="00C77089" w:rsidP="00C55284">
      <w:pPr>
        <w:pStyle w:val="PargrafodaLista"/>
        <w:numPr>
          <w:ilvl w:val="0"/>
          <w:numId w:val="11"/>
        </w:numPr>
        <w:jc w:val="both"/>
      </w:pPr>
      <w:r>
        <w:t>“O c</w:t>
      </w:r>
      <w:r w:rsidRPr="00B226A5">
        <w:t>umprimento dos requisitos necessários para a atribuição de permissão administrativa é verificado através de visita de controlo a efetuar pela direção de serviços veterinários da respetiva região</w:t>
      </w:r>
      <w:r>
        <w:t>” no caso da criação de raças potencialmente perigosas, não sendo necessário no procedimento de mera comunicação prévia, existindo um termo de responsabilidade do médico veterinário do alojamento em ambos os procedimentos;</w:t>
      </w:r>
    </w:p>
    <w:p w14:paraId="7CCC845E" w14:textId="77777777" w:rsidR="00C77089" w:rsidRDefault="00C77089" w:rsidP="00C55284">
      <w:pPr>
        <w:pStyle w:val="PargrafodaLista"/>
        <w:numPr>
          <w:ilvl w:val="0"/>
          <w:numId w:val="11"/>
        </w:numPr>
        <w:jc w:val="both"/>
      </w:pPr>
      <w:r>
        <w:t>No seu art.º 66 considera “</w:t>
      </w:r>
      <w:r w:rsidRPr="00065EA8">
        <w:t>Sem prejuízo das competências atribuídas por lei a outras entidades, compete, em especial, à DGAV, aos médicos veterinários municipais, à Autoridade de Segurança Alimentar e Económica, ao ICNF, I. P., às câmaras municipais, à PM, à GNR, à PSP e, em geral, a todas as autoridades policiais assegurar a fiscalização do cumprimento das normas constantes do presente diploma</w:t>
      </w:r>
      <w:r>
        <w:t>”.</w:t>
      </w:r>
    </w:p>
    <w:p w14:paraId="3F34CECB" w14:textId="77777777" w:rsidR="00C55284" w:rsidRDefault="00C55284" w:rsidP="00C55284">
      <w:pPr>
        <w:jc w:val="both"/>
      </w:pPr>
    </w:p>
    <w:p w14:paraId="4CFF0136" w14:textId="2D876B86" w:rsidR="00C77089" w:rsidRDefault="00C77089" w:rsidP="00C55284">
      <w:pPr>
        <w:jc w:val="both"/>
      </w:pPr>
      <w:r>
        <w:lastRenderedPageBreak/>
        <w:t>2.3. Harmonização do D.L. 314/2003 com D.L. 276/2001:</w:t>
      </w:r>
    </w:p>
    <w:p w14:paraId="6DDE4038" w14:textId="77777777" w:rsidR="00C77089" w:rsidRPr="00C55284" w:rsidRDefault="00C77089" w:rsidP="00C55284">
      <w:pPr>
        <w:jc w:val="both"/>
        <w:rPr>
          <w:b/>
          <w:bCs/>
        </w:rPr>
      </w:pPr>
      <w:r w:rsidRPr="00C55284">
        <w:rPr>
          <w:b/>
          <w:bCs/>
        </w:rPr>
        <w:t>É nosso entendimento que:</w:t>
      </w:r>
    </w:p>
    <w:p w14:paraId="025288C0" w14:textId="77777777" w:rsidR="00C77089" w:rsidRDefault="00C77089" w:rsidP="00C55284">
      <w:pPr>
        <w:pStyle w:val="PargrafodaLista"/>
        <w:numPr>
          <w:ilvl w:val="0"/>
          <w:numId w:val="12"/>
        </w:numPr>
        <w:jc w:val="both"/>
      </w:pPr>
      <w:r>
        <w:t xml:space="preserve">Não existe referência ao número máximo de animais a alojar em nenhuma das atualizações do D.L. n.º 267/2001, porque este contempla as dimensões mínimas para garantir o bem-estar animal, estando salvaguardadas as questões sanitárias pelo D.L. n.º 314/2003, de 17 de </w:t>
      </w:r>
      <w:proofErr w:type="gramStart"/>
      <w:r>
        <w:t>Dezembro</w:t>
      </w:r>
      <w:proofErr w:type="gramEnd"/>
      <w:r>
        <w:t>;</w:t>
      </w:r>
    </w:p>
    <w:p w14:paraId="3354F083" w14:textId="77777777" w:rsidR="00C77089" w:rsidRDefault="00C77089" w:rsidP="00C55284">
      <w:pPr>
        <w:pStyle w:val="PargrafodaLista"/>
        <w:numPr>
          <w:ilvl w:val="0"/>
          <w:numId w:val="12"/>
        </w:numPr>
        <w:jc w:val="both"/>
      </w:pPr>
      <w:r>
        <w:t>O médico veterinário responsável pelo alojamento não deverá poder autorizar o alojamento de animais em número superior ao permitido pela autoridade sanitária veterinária concelhia em conjunto com a autoridade de saúde, além de poder existir conflito de interesses financeiros para este;</w:t>
      </w:r>
    </w:p>
    <w:p w14:paraId="5C9BA55C" w14:textId="77777777" w:rsidR="00C77089" w:rsidRDefault="00C77089" w:rsidP="00C55284">
      <w:pPr>
        <w:pStyle w:val="PargrafodaLista"/>
        <w:numPr>
          <w:ilvl w:val="0"/>
          <w:numId w:val="12"/>
        </w:numPr>
        <w:jc w:val="both"/>
      </w:pPr>
      <w:r w:rsidRPr="000A16AC">
        <w:t xml:space="preserve">O médico veterinário do alojamento não é </w:t>
      </w:r>
      <w:proofErr w:type="gramStart"/>
      <w:r w:rsidRPr="000A16AC">
        <w:t>considerada</w:t>
      </w:r>
      <w:proofErr w:type="gramEnd"/>
      <w:r w:rsidRPr="000A16AC">
        <w:t xml:space="preserve"> autoridade competente para assegurar a fiscalização do cumprimento das normas constantes no diploma, estando previsto um plano de controlo das normas de proteção dos animais de companhia por parte do ICNF para efetuar essa fiscalização</w:t>
      </w:r>
      <w:r>
        <w:t>,</w:t>
      </w:r>
      <w:r w:rsidRPr="000A16AC">
        <w:t xml:space="preserve"> uma vez que não estando o médico veterinário em permanência no alojamento, é o detentor do alojamento responsável pelo cumprimento das normas constantes no diploma</w:t>
      </w:r>
      <w:r>
        <w:t>;</w:t>
      </w:r>
    </w:p>
    <w:p w14:paraId="5A23AE1C" w14:textId="77777777" w:rsidR="00C77089" w:rsidRDefault="00C77089" w:rsidP="00C55284">
      <w:pPr>
        <w:pStyle w:val="PargrafodaLista"/>
        <w:numPr>
          <w:ilvl w:val="0"/>
          <w:numId w:val="12"/>
        </w:numPr>
        <w:jc w:val="both"/>
      </w:pPr>
      <w:r>
        <w:t>O fato de D.L. n.º 314/2003 definir um número máximo de animais em prédio urbano, independente da dimensão dessa fração, leva a que seja permitido o mesmo número máximo de animais independentemente das condições sanitárias para estes. Consideramos que este diploma carece de revisão para diferenciar os tipos de prédios urbanos e a sua lotação máxima;</w:t>
      </w:r>
    </w:p>
    <w:p w14:paraId="25DB5365" w14:textId="77777777" w:rsidR="00C77089" w:rsidRDefault="00C77089" w:rsidP="00C55284">
      <w:pPr>
        <w:pStyle w:val="PargrafodaLista"/>
        <w:numPr>
          <w:ilvl w:val="0"/>
          <w:numId w:val="12"/>
        </w:numPr>
        <w:jc w:val="both"/>
      </w:pPr>
      <w:r w:rsidRPr="000A16AC">
        <w:t>O art.º 3.º do D.L. n.º 43/2019 define que “O ICNF, I. P., tem por missão propor e executar políticas integradas de ordenamento e gestão do território, em articulação com entes públicos e privados, nos domínios da conservação da natureza, da biodiversidade, das florestas e competitividade das fileiras florestais, e assegurar a gestão dos fogos rurais, bem como definir, executar e avaliar políticas de bem-estar, detenção, criação, comércio e controlo de animais de companhia, ouvida a autoridade sanitária veterinária nacional no âmbito das suas competências e salvaguardadas as orientações desta autorid</w:t>
      </w:r>
      <w:r>
        <w:t>ade em matéria de saúde animal.”</w:t>
      </w:r>
      <w:r w:rsidRPr="000A16AC">
        <w:t>.</w:t>
      </w:r>
      <w:r>
        <w:t xml:space="preserve"> Sugerimos que seja ouvida a </w:t>
      </w:r>
      <w:r w:rsidRPr="000A16AC">
        <w:t>autoridade sanitária veterinária nacional no âmbito das suas competências</w:t>
      </w:r>
      <w:r>
        <w:t>, a pronunciar-se sobre esta harmonização.</w:t>
      </w:r>
    </w:p>
    <w:p w14:paraId="6A1B20C1" w14:textId="77777777" w:rsidR="00C77089" w:rsidRDefault="00C77089" w:rsidP="00C55284">
      <w:pPr>
        <w:jc w:val="both"/>
      </w:pPr>
    </w:p>
    <w:p w14:paraId="2DC48EDD" w14:textId="76BD36BA" w:rsidR="00C77089" w:rsidRPr="00CA61E5" w:rsidRDefault="00CA61E5" w:rsidP="00C55284">
      <w:pPr>
        <w:jc w:val="both"/>
        <w:rPr>
          <w:b/>
          <w:bCs/>
        </w:rPr>
      </w:pPr>
      <w:r w:rsidRPr="00CA61E5">
        <w:rPr>
          <w:b/>
          <w:bCs/>
        </w:rPr>
        <w:t>C</w:t>
      </w:r>
      <w:r w:rsidR="00B15B90">
        <w:rPr>
          <w:b/>
          <w:bCs/>
        </w:rPr>
        <w:t>onsiderandos:</w:t>
      </w:r>
    </w:p>
    <w:p w14:paraId="68A98CB3" w14:textId="77777777" w:rsidR="00C77089" w:rsidRDefault="00C77089" w:rsidP="00C55284">
      <w:pPr>
        <w:jc w:val="both"/>
      </w:pPr>
      <w:r>
        <w:t>Consideramos que as regras de bem-estar animal definidas pelo D. L. n.º 276/2001 e as regras sanitárias definidas pelo D. L. 314/2003, são complementares e não autónomas.</w:t>
      </w:r>
    </w:p>
    <w:p w14:paraId="061D19D8" w14:textId="77777777" w:rsidR="00DC737E" w:rsidRDefault="00DC737E" w:rsidP="00C55284">
      <w:pPr>
        <w:spacing w:after="120" w:line="240" w:lineRule="auto"/>
        <w:jc w:val="both"/>
        <w:rPr>
          <w:rStyle w:val="xnormaltextrun"/>
          <w:rFonts w:ascii="Calibri Light" w:hAnsi="Calibri Light" w:cs="Calibri Light"/>
        </w:rPr>
      </w:pPr>
    </w:p>
    <w:p w14:paraId="3B50C98D" w14:textId="0EDBAC3D" w:rsidR="0038112E" w:rsidRDefault="0038112E" w:rsidP="00C55284">
      <w:pPr>
        <w:spacing w:after="120" w:line="240" w:lineRule="auto"/>
        <w:jc w:val="both"/>
        <w:rPr>
          <w:rStyle w:val="xnormaltextrun"/>
          <w:rFonts w:ascii="Calibri Light" w:hAnsi="Calibri Light" w:cs="Calibri Light"/>
          <w:b/>
        </w:rPr>
      </w:pPr>
      <w:r>
        <w:rPr>
          <w:rStyle w:val="xnormaltextrun"/>
          <w:rFonts w:ascii="Calibri Light" w:hAnsi="Calibri Light" w:cs="Calibri Light"/>
          <w:b/>
        </w:rPr>
        <w:t>3</w:t>
      </w:r>
      <w:r w:rsidRPr="00657D35">
        <w:rPr>
          <w:rStyle w:val="xnormaltextrun"/>
          <w:rFonts w:ascii="Calibri Light" w:hAnsi="Calibri Light" w:cs="Calibri Light"/>
          <w:b/>
        </w:rPr>
        <w:t xml:space="preserve">. </w:t>
      </w:r>
      <w:r w:rsidR="00131833">
        <w:rPr>
          <w:rStyle w:val="xnormaltextrun"/>
          <w:rFonts w:ascii="Calibri Light" w:hAnsi="Calibri Light" w:cs="Calibri Light"/>
          <w:b/>
        </w:rPr>
        <w:t xml:space="preserve">MERAS </w:t>
      </w:r>
      <w:r>
        <w:rPr>
          <w:rStyle w:val="xnormaltextrun"/>
          <w:rFonts w:ascii="Calibri Light" w:hAnsi="Calibri Light" w:cs="Calibri Light"/>
          <w:b/>
        </w:rPr>
        <w:t>COMUNICAÇÕES PRÉVIAS</w:t>
      </w:r>
    </w:p>
    <w:p w14:paraId="3B0720D1" w14:textId="5657224D" w:rsidR="00657D35" w:rsidRPr="00A22EBA" w:rsidRDefault="0038112E" w:rsidP="00C55284">
      <w:pPr>
        <w:spacing w:after="120" w:line="240" w:lineRule="auto"/>
        <w:jc w:val="both"/>
        <w:rPr>
          <w:rStyle w:val="xnormaltextrun"/>
          <w:rFonts w:ascii="Calibri Light" w:hAnsi="Calibri Light" w:cs="Calibri Light"/>
          <w:b/>
        </w:rPr>
      </w:pPr>
      <w:r w:rsidRPr="00A22EBA">
        <w:rPr>
          <w:rStyle w:val="xnormaltextrun"/>
          <w:rFonts w:ascii="Calibri Light" w:hAnsi="Calibri Light" w:cs="Calibri Light"/>
          <w:b/>
        </w:rPr>
        <w:t>3.1 Quando há alteração à mera comunicação prévia deverá ser cobrada nova taxa?</w:t>
      </w:r>
    </w:p>
    <w:p w14:paraId="1B82C480" w14:textId="19350A3E" w:rsidR="00657D35" w:rsidRDefault="00F04EEA" w:rsidP="00C55284">
      <w:pPr>
        <w:spacing w:after="120" w:line="240" w:lineRule="auto"/>
        <w:jc w:val="both"/>
        <w:rPr>
          <w:rStyle w:val="xnormaltextrun"/>
          <w:rFonts w:ascii="Calibri Light" w:hAnsi="Calibri Light" w:cs="Calibri Light"/>
        </w:rPr>
      </w:pPr>
      <w:r w:rsidRPr="00C55284">
        <w:rPr>
          <w:rStyle w:val="xnormaltextrun"/>
          <w:rFonts w:ascii="Calibri Light" w:hAnsi="Calibri Light" w:cs="Calibri Light"/>
          <w:b/>
          <w:bCs/>
        </w:rPr>
        <w:t>R:</w:t>
      </w:r>
      <w:r>
        <w:rPr>
          <w:rStyle w:val="xnormaltextrun"/>
          <w:rFonts w:ascii="Calibri Light" w:hAnsi="Calibri Light" w:cs="Calibri Light"/>
        </w:rPr>
        <w:t xml:space="preserve"> </w:t>
      </w:r>
      <w:r w:rsidR="00F25BE9">
        <w:rPr>
          <w:rStyle w:val="xnormaltextrun"/>
          <w:rFonts w:ascii="Calibri Light" w:hAnsi="Calibri Light" w:cs="Calibri Light"/>
        </w:rPr>
        <w:t>Desconheço qual seja o diploma que fixou as taxas, mas</w:t>
      </w:r>
      <w:r w:rsidR="008756EB">
        <w:rPr>
          <w:rStyle w:val="xnormaltextrun"/>
          <w:rFonts w:ascii="Calibri Light" w:hAnsi="Calibri Light" w:cs="Calibri Light"/>
        </w:rPr>
        <w:t xml:space="preserve"> vale aqui o princípio da legalidade: se não está expressamente prevista não deverá ser cobrada.</w:t>
      </w:r>
    </w:p>
    <w:p w14:paraId="02B91C6C" w14:textId="75FFA47E" w:rsidR="008756EB" w:rsidRPr="00A22EBA" w:rsidRDefault="0038112E" w:rsidP="00C55284">
      <w:pPr>
        <w:spacing w:after="120" w:line="240" w:lineRule="auto"/>
        <w:jc w:val="both"/>
        <w:rPr>
          <w:rStyle w:val="xnormaltextrun"/>
          <w:rFonts w:ascii="Calibri Light" w:hAnsi="Calibri Light" w:cs="Calibri Light"/>
          <w:b/>
        </w:rPr>
      </w:pPr>
      <w:r w:rsidRPr="00A22EBA">
        <w:rPr>
          <w:rStyle w:val="xnormaltextrun"/>
          <w:rFonts w:ascii="Calibri Light" w:hAnsi="Calibri Light" w:cs="Calibri Light"/>
          <w:b/>
        </w:rPr>
        <w:t>3.2</w:t>
      </w:r>
      <w:r w:rsidR="008756EB" w:rsidRPr="00A22EBA">
        <w:rPr>
          <w:rStyle w:val="xnormaltextrun"/>
          <w:rFonts w:ascii="Calibri Light" w:hAnsi="Calibri Light" w:cs="Calibri Light"/>
          <w:b/>
        </w:rPr>
        <w:t>. Quando é feito um pedido de mera comunicação prévia em que a funcionalidade é dupla (ex.: criação e hotel) é necessário atribuir números diferentes para as 2 atividades e cobrar 2 taxas?</w:t>
      </w:r>
    </w:p>
    <w:p w14:paraId="12841E60" w14:textId="42CA0C33" w:rsidR="00F25BE9" w:rsidRDefault="00F04EEA" w:rsidP="00C55284">
      <w:pPr>
        <w:spacing w:after="120" w:line="240" w:lineRule="auto"/>
        <w:jc w:val="both"/>
        <w:rPr>
          <w:rStyle w:val="xnormaltextrun"/>
          <w:rFonts w:ascii="Calibri Light" w:hAnsi="Calibri Light" w:cs="Calibri Light"/>
        </w:rPr>
      </w:pPr>
      <w:r w:rsidRPr="00C55284">
        <w:rPr>
          <w:rStyle w:val="xnormaltextrun"/>
          <w:rFonts w:ascii="Calibri Light" w:hAnsi="Calibri Light" w:cs="Calibri Light"/>
          <w:b/>
          <w:bCs/>
        </w:rPr>
        <w:lastRenderedPageBreak/>
        <w:t xml:space="preserve">R: </w:t>
      </w:r>
      <w:r w:rsidR="00EB5A1B">
        <w:rPr>
          <w:rStyle w:val="xnormaltextrun"/>
          <w:rFonts w:ascii="Calibri Light" w:hAnsi="Calibri Light" w:cs="Calibri Light"/>
        </w:rPr>
        <w:t>E</w:t>
      </w:r>
      <w:r w:rsidR="008756EB">
        <w:rPr>
          <w:rStyle w:val="xnormaltextrun"/>
          <w:rFonts w:ascii="Calibri Light" w:hAnsi="Calibri Light" w:cs="Calibri Light"/>
        </w:rPr>
        <w:t xml:space="preserve">m direito fiscal ensina-se que a taxa é a contrapartida de uma determinada prestação ou serviço. Nessa perspetiva </w:t>
      </w:r>
      <w:r w:rsidR="00BA721B">
        <w:rPr>
          <w:rStyle w:val="xnormaltextrun"/>
          <w:rFonts w:ascii="Calibri Light" w:hAnsi="Calibri Light" w:cs="Calibri Light"/>
        </w:rPr>
        <w:t>haverá que indagar se o que está em causa justifica a atribuição de 2 números ou impõe uma duplicação da atividade dos serviços públicos.</w:t>
      </w:r>
      <w:r w:rsidR="00EB5A1B">
        <w:rPr>
          <w:rStyle w:val="xnormaltextrun"/>
          <w:rFonts w:ascii="Calibri Light" w:hAnsi="Calibri Light" w:cs="Calibri Light"/>
        </w:rPr>
        <w:t xml:space="preserve"> Mas o que é determinante é a lei (ver resposta anterior).</w:t>
      </w:r>
    </w:p>
    <w:p w14:paraId="5F60E55B" w14:textId="77777777" w:rsidR="00014807" w:rsidRDefault="00014807" w:rsidP="00C55284">
      <w:pPr>
        <w:spacing w:after="120" w:line="240" w:lineRule="auto"/>
        <w:jc w:val="both"/>
        <w:rPr>
          <w:rStyle w:val="xnormaltextrun"/>
          <w:rFonts w:ascii="Calibri Light" w:hAnsi="Calibri Light" w:cs="Calibri Light"/>
        </w:rPr>
      </w:pPr>
    </w:p>
    <w:p w14:paraId="5A23874F" w14:textId="43C5971F" w:rsidR="00570FE7" w:rsidRPr="0038112E" w:rsidRDefault="005212F5" w:rsidP="00C55284">
      <w:pPr>
        <w:spacing w:after="120" w:line="240" w:lineRule="auto"/>
        <w:jc w:val="both"/>
        <w:rPr>
          <w:rStyle w:val="xnormaltextrun"/>
          <w:rFonts w:ascii="Calibri Light" w:hAnsi="Calibri Light" w:cs="Calibri Light"/>
          <w:b/>
          <w:bCs/>
        </w:rPr>
      </w:pPr>
      <w:r>
        <w:rPr>
          <w:rStyle w:val="xnormaltextrun"/>
          <w:rFonts w:ascii="Calibri Light" w:hAnsi="Calibri Light" w:cs="Calibri Light"/>
          <w:b/>
          <w:bCs/>
        </w:rPr>
        <w:t xml:space="preserve">4. </w:t>
      </w:r>
      <w:r w:rsidR="0038112E" w:rsidRPr="0038112E">
        <w:rPr>
          <w:rStyle w:val="xnormaltextrun"/>
          <w:rFonts w:ascii="Calibri Light" w:hAnsi="Calibri Light" w:cs="Calibri Light"/>
          <w:b/>
          <w:bCs/>
        </w:rPr>
        <w:t>VISTORIAS/FISCALIZAÇÕES A ALOJAMENTOS</w:t>
      </w:r>
    </w:p>
    <w:p w14:paraId="6545A843" w14:textId="77777777" w:rsidR="005212F5" w:rsidRDefault="005212F5" w:rsidP="00C55284">
      <w:pPr>
        <w:spacing w:after="120" w:line="240" w:lineRule="auto"/>
        <w:jc w:val="both"/>
        <w:rPr>
          <w:rStyle w:val="xnormaltextrun"/>
          <w:rFonts w:ascii="Calibri Light" w:hAnsi="Calibri Light" w:cs="Calibri Light"/>
        </w:rPr>
      </w:pPr>
      <w:r>
        <w:rPr>
          <w:rStyle w:val="xnormaltextrun"/>
          <w:rFonts w:ascii="Calibri Light" w:hAnsi="Calibri Light" w:cs="Calibri Light"/>
        </w:rPr>
        <w:t>No âmbito das vistorias/fiscalizações realizadas a alojamentos, são preparadas notificações, as quais identificam as infrações aos diplomas legais aplicáveis e estabelecem as medidas corretivas, fixando prazos para a sua implementação.</w:t>
      </w:r>
    </w:p>
    <w:p w14:paraId="16DFDED5" w14:textId="6EE3D997" w:rsidR="0038112E" w:rsidRDefault="00EB4A45" w:rsidP="00C55284">
      <w:pPr>
        <w:spacing w:after="120" w:line="240" w:lineRule="auto"/>
        <w:jc w:val="both"/>
        <w:rPr>
          <w:rStyle w:val="xnormaltextrun"/>
          <w:rFonts w:ascii="Calibri Light" w:hAnsi="Calibri Light" w:cs="Calibri Light"/>
        </w:rPr>
      </w:pPr>
      <w:r w:rsidRPr="00C55284">
        <w:rPr>
          <w:rStyle w:val="xnormaltextrun"/>
          <w:rFonts w:ascii="Calibri Light" w:hAnsi="Calibri Light" w:cs="Calibri Light"/>
          <w:b/>
          <w:bCs/>
        </w:rPr>
        <w:t>Proposta:</w:t>
      </w:r>
      <w:r>
        <w:rPr>
          <w:rStyle w:val="xnormaltextrun"/>
          <w:rFonts w:ascii="Calibri Light" w:hAnsi="Calibri Light" w:cs="Calibri Light"/>
        </w:rPr>
        <w:t xml:space="preserve"> </w:t>
      </w:r>
      <w:r w:rsidR="005212F5">
        <w:rPr>
          <w:rStyle w:val="xnormaltextrun"/>
          <w:rFonts w:ascii="Calibri Light" w:hAnsi="Calibri Light" w:cs="Calibri Light"/>
        </w:rPr>
        <w:t>Estes prazos requerem uma uniformização para todo o território nacional, eventualmente sob a forma de Norma de Execução.</w:t>
      </w:r>
    </w:p>
    <w:p w14:paraId="361F59D0" w14:textId="6BC54006" w:rsidR="00B15B90" w:rsidRDefault="00B15B90" w:rsidP="00B15B90">
      <w:pPr>
        <w:rPr>
          <w:rStyle w:val="xnormaltextrun"/>
          <w:rFonts w:ascii="Calibri Light" w:hAnsi="Calibri Light" w:cs="Calibri Light"/>
        </w:rPr>
      </w:pPr>
    </w:p>
    <w:p w14:paraId="0C964B21" w14:textId="1A1A40BB" w:rsidR="00B15B90" w:rsidRPr="00B15B90" w:rsidRDefault="00B15B90" w:rsidP="00B15B90">
      <w:pPr>
        <w:rPr>
          <w:rFonts w:ascii="Calibri Light" w:hAnsi="Calibri Light" w:cs="Calibri Light"/>
          <w:b/>
          <w:bCs/>
        </w:rPr>
      </w:pPr>
      <w:r w:rsidRPr="00B15B90">
        <w:rPr>
          <w:rFonts w:ascii="Calibri Light" w:hAnsi="Calibri Light" w:cs="Calibri Light"/>
          <w:b/>
          <w:bCs/>
        </w:rPr>
        <w:t>5. OUTRAS QUESTÕES.</w:t>
      </w:r>
    </w:p>
    <w:p w14:paraId="0936209E" w14:textId="51ACC75C" w:rsidR="00B15B90" w:rsidRPr="00B15B90" w:rsidRDefault="00B15B90" w:rsidP="00B15B90">
      <w:pPr>
        <w:rPr>
          <w:rFonts w:ascii="Calibri Light" w:hAnsi="Calibri Light" w:cs="Calibri Light"/>
        </w:rPr>
      </w:pPr>
      <w:r w:rsidRPr="00B15B90">
        <w:rPr>
          <w:rFonts w:ascii="Calibri Light" w:hAnsi="Calibri Light" w:cs="Calibri Light"/>
        </w:rPr>
        <w:t>Nos incumprimentos</w:t>
      </w:r>
      <w:r>
        <w:rPr>
          <w:rFonts w:ascii="Calibri Light" w:hAnsi="Calibri Light" w:cs="Calibri Light"/>
        </w:rPr>
        <w:t xml:space="preserve"> detetados nas vistorias aos alojamentos,</w:t>
      </w:r>
      <w:r w:rsidRPr="00B15B90">
        <w:rPr>
          <w:rFonts w:ascii="Calibri Light" w:hAnsi="Calibri Light" w:cs="Calibri Light"/>
        </w:rPr>
        <w:t xml:space="preserve"> que são competências sanitárias da DGAV (exemplo: falta de vacinação da raiva) ou competência de outras entidades (exemplo: falta de licença da Junta de Freguesia), como devemos atuar? Tendo em conta o princípio da legalidade </w:t>
      </w:r>
      <w:r>
        <w:rPr>
          <w:rFonts w:ascii="Calibri Light" w:hAnsi="Calibri Light" w:cs="Calibri Light"/>
        </w:rPr>
        <w:t>prevemos</w:t>
      </w:r>
      <w:r w:rsidRPr="00B15B90">
        <w:rPr>
          <w:rFonts w:ascii="Calibri Light" w:hAnsi="Calibri Light" w:cs="Calibri Light"/>
        </w:rPr>
        <w:t xml:space="preserve"> esse incumprimento na nossa notificação? Ou deveremos informar as autoridades competentes dessa situação e não colocar esse incumprimento nas nossas notificações?</w:t>
      </w:r>
    </w:p>
    <w:sectPr w:rsidR="00B15B90" w:rsidRPr="00B15B90" w:rsidSect="00864922">
      <w:pgSz w:w="11906" w:h="16838"/>
      <w:pgMar w:top="1417"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311B"/>
    <w:multiLevelType w:val="hybridMultilevel"/>
    <w:tmpl w:val="42226B62"/>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31150D9"/>
    <w:multiLevelType w:val="hybridMultilevel"/>
    <w:tmpl w:val="C774625C"/>
    <w:lvl w:ilvl="0" w:tplc="0816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EA4454"/>
    <w:multiLevelType w:val="hybridMultilevel"/>
    <w:tmpl w:val="37528E82"/>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3010EEC"/>
    <w:multiLevelType w:val="hybridMultilevel"/>
    <w:tmpl w:val="B75857F0"/>
    <w:lvl w:ilvl="0" w:tplc="1674D57C">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28050A5E"/>
    <w:multiLevelType w:val="hybridMultilevel"/>
    <w:tmpl w:val="B4A0F646"/>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306C6EC7"/>
    <w:multiLevelType w:val="multilevel"/>
    <w:tmpl w:val="0DF24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E697CC7"/>
    <w:multiLevelType w:val="hybridMultilevel"/>
    <w:tmpl w:val="61149F0A"/>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EF15EB0"/>
    <w:multiLevelType w:val="hybridMultilevel"/>
    <w:tmpl w:val="B8AACA64"/>
    <w:lvl w:ilvl="0" w:tplc="2D243D36">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52A70BB8"/>
    <w:multiLevelType w:val="multilevel"/>
    <w:tmpl w:val="AAFAC01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F840335"/>
    <w:multiLevelType w:val="multilevel"/>
    <w:tmpl w:val="6556FAB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6D00A97"/>
    <w:multiLevelType w:val="hybridMultilevel"/>
    <w:tmpl w:val="EFF8B0B6"/>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69D605D0"/>
    <w:multiLevelType w:val="multilevel"/>
    <w:tmpl w:val="6B16A8F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62124FA"/>
    <w:multiLevelType w:val="multilevel"/>
    <w:tmpl w:val="9FE8310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30109164">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5757903">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28974">
    <w:abstractNumId w:val="11"/>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2963331">
    <w:abstractNumId w:val="9"/>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3592053">
    <w:abstractNumId w:val="12"/>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684762">
    <w:abstractNumId w:val="3"/>
  </w:num>
  <w:num w:numId="7" w16cid:durableId="502165309">
    <w:abstractNumId w:val="7"/>
  </w:num>
  <w:num w:numId="8" w16cid:durableId="194852983">
    <w:abstractNumId w:val="10"/>
  </w:num>
  <w:num w:numId="9" w16cid:durableId="1454597530">
    <w:abstractNumId w:val="2"/>
  </w:num>
  <w:num w:numId="10" w16cid:durableId="426199937">
    <w:abstractNumId w:val="6"/>
  </w:num>
  <w:num w:numId="11" w16cid:durableId="1208224523">
    <w:abstractNumId w:val="4"/>
  </w:num>
  <w:num w:numId="12" w16cid:durableId="1250237347">
    <w:abstractNumId w:val="0"/>
  </w:num>
  <w:num w:numId="13" w16cid:durableId="1346328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F55"/>
    <w:rsid w:val="00014807"/>
    <w:rsid w:val="00021FAB"/>
    <w:rsid w:val="0002585E"/>
    <w:rsid w:val="00061192"/>
    <w:rsid w:val="000D3D41"/>
    <w:rsid w:val="000D4BF5"/>
    <w:rsid w:val="00131833"/>
    <w:rsid w:val="00134A2E"/>
    <w:rsid w:val="001C57EF"/>
    <w:rsid w:val="0020610F"/>
    <w:rsid w:val="00252FE5"/>
    <w:rsid w:val="00291672"/>
    <w:rsid w:val="002B651F"/>
    <w:rsid w:val="002D5679"/>
    <w:rsid w:val="0038112E"/>
    <w:rsid w:val="00382D6F"/>
    <w:rsid w:val="003D298B"/>
    <w:rsid w:val="003D364A"/>
    <w:rsid w:val="0045673D"/>
    <w:rsid w:val="00465838"/>
    <w:rsid w:val="004E1A07"/>
    <w:rsid w:val="004F0263"/>
    <w:rsid w:val="005212F5"/>
    <w:rsid w:val="00570FE7"/>
    <w:rsid w:val="00657AF4"/>
    <w:rsid w:val="00657D35"/>
    <w:rsid w:val="006E07BF"/>
    <w:rsid w:val="008516AB"/>
    <w:rsid w:val="00863D7C"/>
    <w:rsid w:val="00864922"/>
    <w:rsid w:val="0086720F"/>
    <w:rsid w:val="008756EB"/>
    <w:rsid w:val="00930F18"/>
    <w:rsid w:val="009330D9"/>
    <w:rsid w:val="009712E3"/>
    <w:rsid w:val="009B3D8F"/>
    <w:rsid w:val="009C0D5A"/>
    <w:rsid w:val="009E7571"/>
    <w:rsid w:val="00A071B5"/>
    <w:rsid w:val="00A22EBA"/>
    <w:rsid w:val="00AA4981"/>
    <w:rsid w:val="00AD40ED"/>
    <w:rsid w:val="00B15B90"/>
    <w:rsid w:val="00B96F55"/>
    <w:rsid w:val="00BA6D58"/>
    <w:rsid w:val="00BA721B"/>
    <w:rsid w:val="00BD3811"/>
    <w:rsid w:val="00C113A7"/>
    <w:rsid w:val="00C55284"/>
    <w:rsid w:val="00C77089"/>
    <w:rsid w:val="00CA61E5"/>
    <w:rsid w:val="00CC5A84"/>
    <w:rsid w:val="00D2126A"/>
    <w:rsid w:val="00D30AD5"/>
    <w:rsid w:val="00D4343F"/>
    <w:rsid w:val="00D57A66"/>
    <w:rsid w:val="00DA50BA"/>
    <w:rsid w:val="00DB4862"/>
    <w:rsid w:val="00DC737E"/>
    <w:rsid w:val="00E14508"/>
    <w:rsid w:val="00E724D5"/>
    <w:rsid w:val="00EB4A45"/>
    <w:rsid w:val="00EB5A1B"/>
    <w:rsid w:val="00EE3259"/>
    <w:rsid w:val="00F04EEA"/>
    <w:rsid w:val="00F25BE9"/>
    <w:rsid w:val="00F35E87"/>
    <w:rsid w:val="00F64FFB"/>
    <w:rsid w:val="00F8406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7201E"/>
  <w15:chartTrackingRefBased/>
  <w15:docId w15:val="{71AA12BA-AE07-4AF4-9033-4035A77E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xnormaltextrun">
    <w:name w:val="x_normaltextrun"/>
    <w:basedOn w:val="Tipodeletrapredefinidodopargrafo"/>
    <w:rsid w:val="00DB4862"/>
  </w:style>
  <w:style w:type="character" w:customStyle="1" w:styleId="xspellingerror">
    <w:name w:val="x_spellingerror"/>
    <w:basedOn w:val="Tipodeletrapredefinidodopargrafo"/>
    <w:rsid w:val="004F0263"/>
  </w:style>
  <w:style w:type="paragraph" w:customStyle="1" w:styleId="xparagraph">
    <w:name w:val="x_paragraph"/>
    <w:basedOn w:val="Normal"/>
    <w:uiPriority w:val="99"/>
    <w:rsid w:val="00BA721B"/>
    <w:pPr>
      <w:spacing w:after="0" w:line="240" w:lineRule="auto"/>
    </w:pPr>
    <w:rPr>
      <w:rFonts w:ascii="Times New Roman" w:hAnsi="Times New Roman" w:cs="Times New Roman"/>
      <w:sz w:val="24"/>
      <w:szCs w:val="24"/>
      <w:lang w:eastAsia="pt-PT"/>
    </w:rPr>
  </w:style>
  <w:style w:type="character" w:customStyle="1" w:styleId="xeop">
    <w:name w:val="x_eop"/>
    <w:basedOn w:val="Tipodeletrapredefinidodopargrafo"/>
    <w:rsid w:val="00BA721B"/>
  </w:style>
  <w:style w:type="paragraph" w:styleId="PargrafodaLista">
    <w:name w:val="List Paragraph"/>
    <w:basedOn w:val="Normal"/>
    <w:uiPriority w:val="34"/>
    <w:qFormat/>
    <w:rsid w:val="003D29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835821">
      <w:bodyDiv w:val="1"/>
      <w:marLeft w:val="0"/>
      <w:marRight w:val="0"/>
      <w:marTop w:val="0"/>
      <w:marBottom w:val="0"/>
      <w:divBdr>
        <w:top w:val="none" w:sz="0" w:space="0" w:color="auto"/>
        <w:left w:val="none" w:sz="0" w:space="0" w:color="auto"/>
        <w:bottom w:val="none" w:sz="0" w:space="0" w:color="auto"/>
        <w:right w:val="none" w:sz="0" w:space="0" w:color="auto"/>
      </w:divBdr>
    </w:div>
    <w:div w:id="135627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1547</Words>
  <Characters>8359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ICNF</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Lamelas Ahrens Novaes</dc:creator>
  <cp:keywords/>
  <dc:description/>
  <cp:lastModifiedBy>Rui André Vidal</cp:lastModifiedBy>
  <cp:revision>2</cp:revision>
  <dcterms:created xsi:type="dcterms:W3CDTF">2025-12-21T13:00:00Z</dcterms:created>
  <dcterms:modified xsi:type="dcterms:W3CDTF">2025-12-21T13:00:00Z</dcterms:modified>
</cp:coreProperties>
</file>