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80"/>
      </w:pPr>
      <w:r>
        <w:rPr>
          <w:b w:val="0"/>
          <w:i w:val="0"/>
          <w:sz w:val="24"/>
        </w:rPr>
        <w:t>Problemas identificados no projeto de Regime Geral do Animal de Companhia</w:t>
      </w:r>
    </w:p>
    <w:p>
      <w:pPr>
        <w:spacing w:after="240"/>
      </w:pPr>
      <w:r>
        <w:rPr>
          <w:b/>
          <w:i w:val="0"/>
        </w:rPr>
        <w:t>ENSAIO DA VERSÃO 3.0 (opção B). Documento de trabalho para decidir a organização; não substitui a versão 1.7.</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3.0 (ensaio), com o conteúdo da versão 1.13</w:t>
            </w:r>
          </w:p>
        </w:tc>
      </w:tr>
      <w:tr>
        <w:tc>
          <w:tcPr>
            <w:tcW w:w="2551" w:type="dxa"/>
          </w:tcPr>
          <w:p>
            <w:pPr>
              <w:spacing w:after="60"/>
            </w:pPr>
            <w:r/>
            <w:r>
              <w:rPr>
                <w:b/>
                <w:sz w:val="20"/>
              </w:rPr>
              <w:t>Data</w:t>
            </w:r>
          </w:p>
        </w:tc>
        <w:tc>
          <w:tcPr>
            <w:tcW w:w="6520" w:type="dxa"/>
          </w:tcPr>
          <w:p>
            <w:pPr>
              <w:spacing w:after="60"/>
            </w:pPr>
            <w:r/>
            <w:r>
              <w:rPr>
                <w:b w:val="0"/>
                <w:sz w:val="20"/>
              </w:rPr>
              <w:t>9.10.2026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Temas transversais: enquadramento</w:t>
      </w:r>
    </w:p>
    <w:p>
      <w:pPr>
        <w:spacing w:after="40"/>
      </w:pPr>
      <w:r>
        <w:rPr>
          <w:b/>
          <w:i w:val="0"/>
        </w:rPr>
        <w:t>3. Capítulo I. Disposições Gerais</w:t>
      </w:r>
    </w:p>
    <w:p>
      <w:pPr>
        <w:spacing w:after="0"/>
        <w:ind w:left="567"/>
      </w:pPr>
      <w:r>
        <w:rPr>
          <w:b w:val="0"/>
          <w:i w:val="0"/>
        </w:rPr>
        <w:t>REG-01. Duas normas diferentes sobre que espécies são animais de companhia (art. 2.º)</w:t>
      </w:r>
    </w:p>
    <w:p>
      <w:pPr>
        <w:spacing w:after="0"/>
        <w:ind w:left="567"/>
      </w:pPr>
      <w:r>
        <w:rPr>
          <w:b w:val="0"/>
          <w:i w:val="0"/>
        </w:rPr>
        <w:t>CED-18. A definição de animal errante passa a abranger qualquer animal não identificado (art. 3.º)</w:t>
      </w:r>
    </w:p>
    <w:p>
      <w:pPr>
        <w:spacing w:after="0"/>
        <w:ind w:left="567"/>
      </w:pPr>
      <w:r>
        <w:rPr>
          <w:b w:val="0"/>
          <w:i w:val="0"/>
        </w:rPr>
        <w:t>TIT-01. A definição de titular depende só do registo (art. 3.º)</w:t>
      </w:r>
    </w:p>
    <w:p>
      <w:pPr>
        <w:spacing w:after="0"/>
        <w:ind w:left="567"/>
      </w:pPr>
      <w:r>
        <w:rPr>
          <w:b w:val="0"/>
          <w:i w:val="0"/>
        </w:rPr>
        <w:t>TIT-03. Sem regra sobre o valor do registo SIAC face à propriedade (art. 3.º)</w:t>
      </w:r>
    </w:p>
    <w:p>
      <w:pPr>
        <w:spacing w:after="0"/>
        <w:ind w:left="567"/>
      </w:pPr>
      <w:r>
        <w:rPr>
          <w:b w:val="0"/>
          <w:i w:val="0"/>
        </w:rPr>
        <w:t>TIT-09. «Titular ou operador» quando o operador já é titular (art. 3.º)</w:t>
      </w:r>
    </w:p>
    <w:p>
      <w:pPr>
        <w:spacing w:after="0"/>
        <w:ind w:left="567"/>
      </w:pPr>
      <w:r>
        <w:rPr>
          <w:b w:val="0"/>
          <w:i w:val="0"/>
        </w:rPr>
        <w:t>TIT-14. Família de acolhimento sem operador fica sem enquadramento (art. 3.º)</w:t>
      </w:r>
    </w:p>
    <w:p>
      <w:pPr>
        <w:spacing w:after="0"/>
        <w:ind w:left="567"/>
      </w:pPr>
      <w:r>
        <w:rPr>
          <w:b w:val="0"/>
          <w:i w:val="0"/>
        </w:rPr>
        <w:t>TIT-18. Animais deixados em centros veterinários (art. 3.º)</w:t>
      </w:r>
    </w:p>
    <w:p>
      <w:pPr>
        <w:spacing w:after="0"/>
        <w:ind w:left="567"/>
      </w:pPr>
      <w:r>
        <w:rPr>
          <w:b w:val="0"/>
          <w:i w:val="0"/>
        </w:rPr>
        <w:t>TIT-19. Nada diz quem é titular quando o animal não tem proprietário (art. 3.º)</w:t>
      </w:r>
    </w:p>
    <w:p>
      <w:pPr>
        <w:spacing w:after="40"/>
      </w:pPr>
    </w:p>
    <w:p>
      <w:pPr>
        <w:spacing w:after="40"/>
      </w:pPr>
      <w:r>
        <w:rPr>
          <w:b/>
          <w:i w:val="0"/>
        </w:rPr>
        <w:t>4. Capítulo II. Princípios Gerais</w:t>
      </w:r>
    </w:p>
    <w:p>
      <w:pPr>
        <w:spacing w:after="0"/>
        <w:ind w:left="567"/>
      </w:pPr>
      <w:r>
        <w:rPr>
          <w:b w:val="0"/>
          <w:i w:val="0"/>
        </w:rPr>
        <w:t>TIT-13. Quem responde pelos danos causados pelo animal (art. 6.º)</w:t>
      </w:r>
    </w:p>
    <w:p>
      <w:pPr>
        <w:spacing w:after="0"/>
        <w:ind w:left="567"/>
      </w:pPr>
      <w:r>
        <w:rPr>
          <w:b w:val="0"/>
          <w:i w:val="0"/>
        </w:rPr>
        <w:t>TIT-16. Detentores de facto que dizem tratar de animais errantes (art. 6.º)</w:t>
      </w:r>
    </w:p>
    <w:p>
      <w:pPr>
        <w:spacing w:after="0"/>
        <w:ind w:left="567"/>
      </w:pPr>
      <w:r>
        <w:rPr>
          <w:b w:val="0"/>
          <w:i w:val="0"/>
        </w:rPr>
        <w:t>BEM-01. A amarração no domicílio fica sem duração máxima nem requisitos verificáveis (art. 19.º)</w:t>
      </w:r>
    </w:p>
    <w:p>
      <w:pPr>
        <w:spacing w:after="40"/>
      </w:pPr>
    </w:p>
    <w:p>
      <w:pPr>
        <w:spacing w:after="40"/>
      </w:pPr>
      <w:r>
        <w:rPr>
          <w:b/>
          <w:i w:val="0"/>
        </w:rPr>
        <w:t>5. Capítulo IV. Detenção em estabelecimentos</w:t>
      </w:r>
    </w:p>
    <w:p>
      <w:pPr>
        <w:spacing w:after="0"/>
        <w:ind w:left="567"/>
      </w:pPr>
      <w:r>
        <w:rPr>
          <w:b w:val="0"/>
          <w:i w:val="0"/>
        </w:rPr>
        <w:t>TIT-12. Redação por decidir no art. 22.º (art. 22.º)</w:t>
      </w:r>
    </w:p>
    <w:p>
      <w:pPr>
        <w:spacing w:after="40"/>
      </w:pPr>
    </w:p>
    <w:p>
      <w:pPr>
        <w:spacing w:after="40"/>
      </w:pPr>
      <w:r>
        <w:rPr>
          <w:b/>
          <w:i w:val="0"/>
        </w:rPr>
        <w:t>6. Capítulo VI. Meios de contenção</w:t>
      </w:r>
    </w:p>
    <w:p>
      <w:pPr>
        <w:spacing w:after="0"/>
        <w:ind w:left="567"/>
      </w:pPr>
      <w:r>
        <w:rPr>
          <w:b w:val="0"/>
          <w:i w:val="0"/>
        </w:rPr>
        <w:t>CED-12. Gatos de colónia em infração permanente (art. 60.º)</w:t>
      </w:r>
    </w:p>
    <w:p>
      <w:pPr>
        <w:spacing w:after="40"/>
      </w:pPr>
    </w:p>
    <w:p>
      <w:pPr>
        <w:spacing w:after="40"/>
      </w:pPr>
      <w:r>
        <w:rPr>
          <w:b/>
          <w:i w:val="0"/>
        </w:rPr>
        <w:t>7. Capítulo VIII. Registo e identificação e Sistemas de Informação</w:t>
      </w:r>
    </w:p>
    <w:p>
      <w:pPr>
        <w:spacing w:after="0"/>
        <w:ind w:left="567"/>
      </w:pPr>
      <w:r>
        <w:rPr>
          <w:b w:val="0"/>
          <w:i w:val="0"/>
        </w:rPr>
        <w:t>TIT-02. Registo em nome de quem detém o animal e não de quem é dono (art. 69.º)</w:t>
      </w:r>
    </w:p>
    <w:p>
      <w:pPr>
        <w:spacing w:after="0"/>
        <w:ind w:left="567"/>
      </w:pPr>
      <w:r>
        <w:rPr>
          <w:b w:val="0"/>
          <w:i w:val="0"/>
        </w:rPr>
        <w:t>TIT-08. Animais perigosos: o operador pode ser uma sociedade, o titular não (art. 69.º)</w:t>
      </w:r>
    </w:p>
    <w:p>
      <w:pPr>
        <w:spacing w:after="0"/>
        <w:ind w:left="567"/>
      </w:pPr>
      <w:r>
        <w:rPr>
          <w:b w:val="0"/>
          <w:i w:val="0"/>
        </w:rPr>
        <w:t>TIT-10. Terminologia do CRO ainda não uniforme (art. 70.º)</w:t>
      </w:r>
    </w:p>
    <w:p>
      <w:pPr>
        <w:spacing w:after="0"/>
        <w:ind w:left="567"/>
      </w:pPr>
      <w:r>
        <w:rPr>
          <w:b w:val="0"/>
          <w:i w:val="0"/>
        </w:rPr>
        <w:t>TIT-05. A presunção de abandono remete para normas erradas e não diz a quem se aplica (art. 73.º)</w:t>
      </w:r>
    </w:p>
    <w:p>
      <w:pPr>
        <w:spacing w:after="0"/>
        <w:ind w:left="567"/>
      </w:pPr>
      <w:r>
        <w:rPr>
          <w:b w:val="0"/>
          <w:i w:val="0"/>
        </w:rPr>
        <w:t>TIT-17. Prazos de comunicação ao SIAC mais pesados do que o Regulamento europeu (art. 73.º)</w:t>
      </w:r>
    </w:p>
    <w:p>
      <w:pPr>
        <w:spacing w:after="0"/>
        <w:ind w:left="567"/>
      </w:pPr>
      <w:r>
        <w:rPr>
          <w:b w:val="0"/>
          <w:i w:val="0"/>
        </w:rPr>
        <w:t>TIT-04. O detentor deixa de ter de comunicar a morte do animal (art. 76.º)</w:t>
      </w:r>
    </w:p>
    <w:p>
      <w:pPr>
        <w:spacing w:after="40"/>
      </w:pPr>
    </w:p>
    <w:p>
      <w:pPr>
        <w:spacing w:after="40"/>
      </w:pPr>
      <w:r>
        <w:rPr>
          <w:b/>
          <w:i w:val="0"/>
        </w:rPr>
        <w:t>8. Capítulo X. Gestão das populações animais</w:t>
      </w:r>
    </w:p>
    <w:p>
      <w:pPr>
        <w:spacing w:after="0"/>
        <w:ind w:left="567"/>
      </w:pPr>
      <w:r>
        <w:rPr>
          <w:b w:val="0"/>
          <w:i w:val="0"/>
        </w:rPr>
        <w:t>CED-03. Proibição nacional de alimentar animais na via pública (art. 84.º)</w:t>
      </w:r>
    </w:p>
    <w:p>
      <w:pPr>
        <w:spacing w:after="0"/>
        <w:ind w:left="567"/>
      </w:pPr>
      <w:r>
        <w:rPr>
          <w:b w:val="0"/>
          <w:i w:val="0"/>
        </w:rPr>
        <w:t>CED-17. Plano municipal de controlo de errantes sem conteúdo mínimo nem consequências (art. 85.º)</w:t>
      </w:r>
    </w:p>
    <w:p>
      <w:pPr>
        <w:spacing w:after="0"/>
        <w:ind w:left="567"/>
      </w:pPr>
      <w:r>
        <w:rPr>
          <w:b w:val="0"/>
          <w:i w:val="0"/>
        </w:rPr>
        <w:t>CED-01. O CED passa a ser só uma faculdade das câmaras (art. 86.º)</w:t>
      </w:r>
    </w:p>
    <w:p>
      <w:pPr>
        <w:spacing w:after="0"/>
        <w:ind w:left="567"/>
      </w:pPr>
      <w:r>
        <w:rPr>
          <w:b w:val="0"/>
          <w:i w:val="0"/>
        </w:rPr>
        <w:t>CED-02. O cuidador de colónia não existe no texto (art. 86.º)</w:t>
      </w:r>
    </w:p>
    <w:p>
      <w:pPr>
        <w:spacing w:after="0"/>
        <w:ind w:left="567"/>
      </w:pPr>
      <w:r>
        <w:rPr>
          <w:b w:val="0"/>
          <w:i w:val="0"/>
        </w:rPr>
        <w:t>CED-05. Passagem obrigatória pelo CRO antes de o gato entrar na colónia (art. 86.º)</w:t>
      </w:r>
    </w:p>
    <w:p>
      <w:pPr>
        <w:spacing w:after="0"/>
        <w:ind w:left="567"/>
      </w:pPr>
      <w:r>
        <w:rPr>
          <w:b w:val="0"/>
          <w:i w:val="0"/>
        </w:rPr>
        <w:t>CED-06. Exclusão dos cães do CED (art. 86.º)</w:t>
      </w:r>
    </w:p>
    <w:p>
      <w:pPr>
        <w:spacing w:after="0"/>
        <w:ind w:left="567"/>
      </w:pPr>
      <w:r>
        <w:rPr>
          <w:b w:val="0"/>
          <w:i w:val="0"/>
        </w:rPr>
        <w:t>CED-07. Remissões e numeração erradas no artigo do CED (art. 86.º)</w:t>
      </w:r>
    </w:p>
    <w:p>
      <w:pPr>
        <w:spacing w:after="0"/>
        <w:ind w:left="567"/>
      </w:pPr>
      <w:r>
        <w:rPr>
          <w:b w:val="0"/>
          <w:i w:val="0"/>
        </w:rPr>
        <w:t>CED-08. Entidade promotora, entidade responsável e titular: quem responde pela colónia (art. 86.º)</w:t>
      </w:r>
    </w:p>
    <w:p>
      <w:pPr>
        <w:spacing w:after="0"/>
        <w:ind w:left="567"/>
      </w:pPr>
      <w:r>
        <w:rPr>
          <w:b w:val="0"/>
          <w:i w:val="0"/>
        </w:rPr>
        <w:t>CED-09. Registo da colónia no SIAC sem conteúdo definido (art. 86.º)</w:t>
      </w:r>
    </w:p>
    <w:p>
      <w:pPr>
        <w:spacing w:after="0"/>
        <w:ind w:left="567"/>
      </w:pPr>
      <w:r>
        <w:rPr>
          <w:b w:val="0"/>
          <w:i w:val="0"/>
        </w:rPr>
        <w:t>CED-11. CED e conservação da natureza (art. 86.º)</w:t>
      </w:r>
    </w:p>
    <w:p>
      <w:pPr>
        <w:spacing w:after="0"/>
        <w:ind w:left="567"/>
      </w:pPr>
      <w:r>
        <w:rPr>
          <w:b w:val="0"/>
          <w:i w:val="0"/>
        </w:rPr>
        <w:t>CED-13. Crias e gatos sociáveis: retirar ou devolver (art. 86.º)</w:t>
      </w:r>
    </w:p>
    <w:p>
      <w:pPr>
        <w:spacing w:after="0"/>
        <w:ind w:left="567"/>
      </w:pPr>
      <w:r>
        <w:rPr>
          <w:b w:val="0"/>
          <w:i w:val="0"/>
        </w:rPr>
        <w:t>CED-14. Suspensão do programa e recolha dos gatos sem garantias (art. 86.º)</w:t>
      </w:r>
    </w:p>
    <w:p>
      <w:pPr>
        <w:spacing w:after="0"/>
        <w:ind w:left="567"/>
      </w:pPr>
      <w:r>
        <w:rPr>
          <w:b w:val="0"/>
          <w:i w:val="0"/>
        </w:rPr>
        <w:t>CED-15. Meios: médicos veterinários municipais e financiamento (art. 86.º)</w:t>
      </w:r>
    </w:p>
    <w:p>
      <w:pPr>
        <w:spacing w:after="0"/>
        <w:ind w:left="567"/>
      </w:pPr>
      <w:r>
        <w:rPr>
          <w:b w:val="0"/>
          <w:i w:val="0"/>
        </w:rPr>
        <w:t>CED-16. Conflito com vizinhos e dimensão da colónia (art. 86.º)</w:t>
      </w:r>
    </w:p>
    <w:p>
      <w:pPr>
        <w:spacing w:after="0"/>
        <w:ind w:left="567"/>
      </w:pPr>
      <w:r>
        <w:rPr>
          <w:b w:val="0"/>
          <w:i w:val="0"/>
        </w:rPr>
        <w:t>CED-10. Colónias em prédios privados (art. 87.º)</w:t>
      </w:r>
    </w:p>
    <w:p>
      <w:pPr>
        <w:spacing w:after="0"/>
        <w:ind w:left="567"/>
      </w:pPr>
      <w:r>
        <w:rPr>
          <w:b w:val="0"/>
          <w:i w:val="0"/>
        </w:rPr>
        <w:t>CED-04. Só as câmaras podem capturar, mas o CED pode ser gerido por outras entidades (art. 91.º)</w:t>
      </w:r>
    </w:p>
    <w:p>
      <w:pPr>
        <w:spacing w:after="0"/>
        <w:ind w:left="567"/>
      </w:pPr>
      <w:r>
        <w:rPr>
          <w:b w:val="0"/>
          <w:i w:val="0"/>
        </w:rPr>
        <w:t>CED-19. A Lei 75/2013 ainda atribui às câmaras o abate de canídeos e gatídeos (art. 91.º)</w:t>
      </w:r>
    </w:p>
    <w:p>
      <w:pPr>
        <w:spacing w:after="0"/>
        <w:ind w:left="567"/>
      </w:pPr>
      <w:r>
        <w:rPr>
          <w:b w:val="0"/>
          <w:i w:val="0"/>
        </w:rPr>
        <w:t>TIT-15. Quem encontra um animal passa a poder ser punido (art. 91.º)</w:t>
      </w:r>
    </w:p>
    <w:p>
      <w:pPr>
        <w:spacing w:after="0"/>
        <w:ind w:left="567"/>
      </w:pPr>
      <w:r>
        <w:rPr>
          <w:b w:val="0"/>
          <w:i w:val="0"/>
        </w:rPr>
        <w:t>TIT-20. Quem acolhe um animal errante pode ficar sem saída lícita (art. 94.º)</w:t>
      </w:r>
    </w:p>
    <w:p>
      <w:pPr>
        <w:spacing w:after="40"/>
      </w:pPr>
    </w:p>
    <w:p>
      <w:pPr>
        <w:spacing w:after="40"/>
      </w:pPr>
      <w:r>
        <w:rPr>
          <w:b/>
          <w:i w:val="0"/>
        </w:rPr>
        <w:t>9. Capítulo XV. Medidas administrativas, fiscalização e contraordenações</w:t>
      </w:r>
    </w:p>
    <w:p>
      <w:pPr>
        <w:spacing w:after="0"/>
        <w:ind w:left="567"/>
      </w:pPr>
      <w:r>
        <w:rPr>
          <w:b w:val="0"/>
          <w:i w:val="0"/>
        </w:rPr>
        <w:t>TIT-06. O abandono não aparece como contraordenação (art. 140.º)</w:t>
      </w:r>
    </w:p>
    <w:p>
      <w:pPr>
        <w:spacing w:after="0"/>
        <w:ind w:left="567"/>
      </w:pPr>
      <w:r>
        <w:rPr>
          <w:b w:val="0"/>
          <w:i w:val="0"/>
        </w:rPr>
        <w:t>TIT-11. Contraordenação dirigida só aos detentores (art. 140.º)</w:t>
      </w:r>
    </w:p>
    <w:p>
      <w:pPr>
        <w:spacing w:after="40"/>
      </w:pPr>
    </w:p>
    <w:p>
      <w:pPr>
        <w:spacing w:after="40"/>
      </w:pPr>
      <w:r>
        <w:rPr>
          <w:b/>
          <w:i w:val="0"/>
        </w:rPr>
        <w:t>10. Capítulo XVI. Disposições complementares, finais e transitórias</w:t>
      </w:r>
    </w:p>
    <w:p>
      <w:pPr>
        <w:spacing w:after="0"/>
        <w:ind w:left="567"/>
      </w:pPr>
      <w:r>
        <w:rPr>
          <w:b w:val="0"/>
          <w:i w:val="0"/>
        </w:rPr>
        <w:t>TIT-07. As portarias mantidas usam detentor no sentido antigo (art. 149.º)</w:t>
      </w:r>
    </w:p>
    <w:p>
      <w:pPr>
        <w:spacing w:after="40"/>
      </w:pPr>
    </w:p>
    <w:p>
      <w:pPr>
        <w:spacing w:after="40"/>
      </w:pPr>
      <w:r>
        <w:rPr>
          <w:b/>
          <w:i w:val="0"/>
        </w:rPr>
        <w:t>11. Pontos já resolvidos no RGAC</w:t>
      </w:r>
    </w:p>
    <w:p>
      <w:pPr>
        <w:spacing w:after="40"/>
      </w:pPr>
      <w:r>
        <w:rPr>
          <w:b/>
          <w:i w:val="0"/>
        </w:rPr>
        <w:t>Anexo A. Quadro-resumo das fichas, pela ordem do RGAC</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Anexo E. Fichas por tema</w:t>
      </w:r>
    </w:p>
    <w:p>
      <w:pPr>
        <w:spacing w:after="40"/>
      </w:pPr>
      <w:r>
        <w:rPr>
          <w:b/>
          <w:i w:val="0"/>
        </w:rPr>
        <w:t>Anexo F. Correspondência com os códigos anteriores</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O memorando segue a ordem do RGAC. Cada ficha aparece no capítulo e junto ao artigo onde está o problema principal. A numeração dos artigos e capítulos é sempre a da versão do RGAC indicada acima; quando o RGAC mudar, o memorando é gerado de novo e os números acompanham a mudança.</w:t>
      </w:r>
    </w:p>
    <w:p>
      <w:r>
        <w:rPr>
          <w:b w:val="0"/>
          <w:i w:val="0"/>
        </w:rPr>
        <w:t>Cada ficha tem um código permanente formado pela sigla do seu tema principal e por um número sequencial dentro desse tema: TIT-01 é a primeira ficha de titularidade, CED-07 a sétima de CED. O código não depende da numeração do RGAC e nunca muda. Quando um problema fica resolvido, a ficha mantém-se com o estado Resolvido.</w:t>
      </w:r>
    </w:p>
    <w:p>
      <w:r>
        <w:rPr>
          <w:b w:val="0"/>
          <w:i w:val="0"/>
        </w:rPr>
        <w:t>Uma ficha pode tocar mais de um tema. O tema principal dá o código; os outros aparecem como etiquetas. O Anexo E junta as fichas de cada tema, incluindo as que o têm como tema secundário.</w:t>
      </w:r>
    </w:p>
    <w:p>
      <w:r>
        <w:rPr>
          <w:b w:val="0"/>
          <w:i w:val="0"/>
        </w:rPr>
        <w:t>Os lapsos formais (remissões erradas, números repetidos, gralhas, marcas de trabalho no texto) não têm ficha: ficam no Anexo C, com código L. O Anexo D mostra, artigo a artigo, o que já foi revisto.</w:t>
      </w:r>
    </w:p>
    <w:p>
      <w:r>
        <w:rPr>
          <w:b w:val="0"/>
          <w:i w:val="0"/>
        </w:rPr>
        <w:t>A legislação vigente citada foi confirmada online (DRE e PGDL), na pasta Legislação vigente e nos ficheiros do repositório. As posições de entidades externas assentam só em documentos; notícias de imprensa não são usadas como fonte.</w:t>
      </w:r>
    </w:p>
    <w:p>
      <w:pPr>
        <w:spacing w:after="40"/>
      </w:pPr>
      <w:r>
        <w:rPr>
          <w:b w:val="0"/>
          <w:i w:val="0"/>
        </w:rPr>
        <w:t>Cada ficha tem os seguintes campos:</w:t>
      </w:r>
    </w:p>
    <w:p>
      <w:pPr>
        <w:spacing w:after="20"/>
        <w:ind w:left="454"/>
      </w:pPr>
      <w:r>
        <w:rPr>
          <w:b w:val="0"/>
          <w:i w:val="0"/>
        </w:rPr>
        <w:t>Onde: Artigos do RGAC em causa, com o capítulo.</w:t>
      </w:r>
    </w:p>
    <w:p>
      <w:pPr>
        <w:spacing w:after="20"/>
        <w:ind w:left="454"/>
      </w:pPr>
      <w:r>
        <w:rPr>
          <w:b w:val="0"/>
          <w:i w:val="0"/>
        </w:rPr>
        <w:t>Etiquetas: Temas a que a ficha pertence.</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Temas transversais: enquadramento</w:t>
      </w:r>
    </w:p>
    <w:p>
      <w:r>
        <w:rPr>
          <w:b w:val="0"/>
          <w:i w:val="0"/>
        </w:rPr>
        <w:t>Dois temas atravessam vários capítulos do RGAC. O enquadramento fica aqui; as fichas estão nos capítulos onde cada problema aparece e o Anexo E junta-as por tema.</w:t>
      </w:r>
    </w:p>
    <w:p>
      <w:pPr>
        <w:pStyle w:val="Heading2"/>
      </w:pPr>
      <w:r>
        <w:rPr>
          <w:i w:val="0"/>
          <w:color w:val="000000"/>
        </w:rPr>
        <w:t>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r>
        <w:rPr>
          <w:b w:val="0"/>
          <w:i w:val="0"/>
        </w:rPr>
        <w:t>Fichas deste tema: TIT-01, TIT-03, TIT-09, TIT-14, TIT-18, TIT-19, TIT-13, TIT-16, TIT-12, TIT-02, TIT-08, TIT-10, TIT-05, TIT-17, TIT-04, TIT-15, TIT-20, TIT-06, TIT-11, TIT-07.</w:t>
      </w:r>
    </w:p>
    <w:p>
      <w:pPr>
        <w:pStyle w:val="Heading2"/>
      </w:pPr>
      <w:r>
        <w:rPr>
          <w:i w:val="0"/>
          <w:color w:val="000000"/>
        </w:rPr>
        <w:t>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r>
        <w:rPr>
          <w:b w:val="0"/>
          <w:i w:val="0"/>
        </w:rPr>
        <w:t>Fichas deste tema: CED-18, CED-12, CED-03, CED-17, CED-01, CED-02, CED-05, CED-06, CED-07, CED-08, CED-09, CED-11, CED-13, CED-14, CED-15, CED-16, CED-10, CED-04, CED-19, TIT-20.</w:t>
      </w:r>
    </w:p>
    <w:p>
      <w:r>
        <w:br w:type="page"/>
      </w:r>
    </w:p>
    <w:p>
      <w:pPr>
        <w:pStyle w:val="Heading1"/>
      </w:pPr>
      <w:r>
        <w:rPr>
          <w:i w:val="0"/>
          <w:color w:val="000000"/>
        </w:rPr>
        <w:t>3. Capítulo I. Disposições Gerais</w:t>
      </w:r>
    </w:p>
    <w:p>
      <w:pPr>
        <w:pStyle w:val="Heading2"/>
      </w:pPr>
      <w:r>
        <w:rPr>
          <w:i w:val="0"/>
          <w:color w:val="000000"/>
        </w:rPr>
        <w:t>REG-01.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w:t>
            </w:r>
          </w:p>
          <w:p>
            <w:pPr>
              <w:spacing w:after="60"/>
            </w:pPr>
            <w:r>
              <w:rPr>
                <w:b w:val="0"/>
                <w:sz w:val="20"/>
              </w:rPr>
              <w:t>art. 4.º, n.ºs 1 a 3</w:t>
            </w:r>
          </w:p>
          <w:p>
            <w:pPr>
              <w:spacing w:after="60"/>
            </w:pPr>
            <w:r>
              <w:rPr>
                <w:b w:val="0"/>
                <w:sz w:val="20"/>
              </w:rPr>
              <w:t>art. 3.º, definição de «Animal de companhia»</w:t>
            </w:r>
          </w:p>
          <w:p>
            <w:pPr>
              <w:spacing w:after="60"/>
            </w:pPr>
            <w:r>
              <w:rPr>
                <w:b w:val="0"/>
                <w:sz w:val="20"/>
              </w:rPr>
              <w:t>Artigo principal: art. 2.º, Âmbito Objetivo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w:t>
            </w:r>
          </w:p>
          <w:p>
            <w:pPr>
              <w:spacing w:after="60"/>
            </w:pPr>
            <w:r>
              <w:rPr>
                <w:b w:val="0"/>
                <w:sz w:val="20"/>
              </w:rPr>
              <w:t>art. 91.º, n.º 1, al. a)</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CED-12).</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CED-12, TIT-15</w:t>
            </w:r>
          </w:p>
        </w:tc>
      </w:tr>
    </w:tbl>
    <w:p/>
    <w:p>
      <w:pPr>
        <w:pStyle w:val="Heading2"/>
      </w:pPr>
      <w:r>
        <w:rPr>
          <w:i w:val="0"/>
          <w:color w:val="000000"/>
        </w:rPr>
        <w:t>TIT-01.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TIT-02, TIT-03</w:t>
            </w:r>
          </w:p>
        </w:tc>
      </w:tr>
    </w:tbl>
    <w:p/>
    <w:p>
      <w:pPr>
        <w:pStyle w:val="Heading2"/>
      </w:pPr>
      <w:r>
        <w:rPr>
          <w:i w:val="0"/>
          <w:color w:val="000000"/>
        </w:rPr>
        <w:t>TIT-03.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w:t>
            </w:r>
          </w:p>
          <w:p>
            <w:pPr>
              <w:spacing w:after="60"/>
            </w:pPr>
            <w:r>
              <w:rPr>
                <w:b w:val="0"/>
                <w:sz w:val="20"/>
              </w:rPr>
              <w:t>art. 5.º</w:t>
            </w:r>
          </w:p>
          <w:p>
            <w:pPr>
              <w:spacing w:after="60"/>
            </w:pPr>
            <w:r>
              <w:rPr>
                <w:b w:val="0"/>
                <w:sz w:val="20"/>
              </w:rPr>
              <w:t>art. 69.º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w:t>
            </w:r>
          </w:p>
        </w:tc>
      </w:tr>
    </w:tbl>
    <w:p/>
    <w:p>
      <w:pPr>
        <w:pStyle w:val="Heading2"/>
      </w:pPr>
      <w:r>
        <w:rPr>
          <w:i w:val="0"/>
          <w:color w:val="000000"/>
        </w:rPr>
        <w:t>TIT-09.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63.º, n.º 5</w:t>
            </w:r>
          </w:p>
          <w:p>
            <w:pPr>
              <w:spacing w:after="60"/>
            </w:pPr>
            <w:r>
              <w:rPr>
                <w:b w:val="0"/>
                <w:sz w:val="20"/>
              </w:rPr>
              <w:t>art. 73.º, n.º 3</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w:t>
            </w:r>
          </w:p>
        </w:tc>
      </w:tr>
    </w:tbl>
    <w:p/>
    <w:p>
      <w:pPr>
        <w:pStyle w:val="Heading2"/>
      </w:pPr>
      <w:r>
        <w:rPr>
          <w:i w:val="0"/>
          <w:color w:val="000000"/>
        </w:rPr>
        <w:t>TIT-14.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w:t>
            </w:r>
          </w:p>
          <w:p>
            <w:pPr>
              <w:spacing w:after="60"/>
            </w:pPr>
            <w:r>
              <w:rPr>
                <w:b w:val="0"/>
                <w:sz w:val="20"/>
              </w:rPr>
              <w:t>art. 41.º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TIT-20).</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TIT-13, CED-02, TIT-20</w:t>
            </w:r>
          </w:p>
        </w:tc>
      </w:tr>
    </w:tbl>
    <w:p/>
    <w:p>
      <w:pPr>
        <w:pStyle w:val="Heading2"/>
      </w:pPr>
      <w:r>
        <w:rPr>
          <w:i w:val="0"/>
          <w:color w:val="000000"/>
        </w:rPr>
        <w:t>TIT-18.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 TIT-06</w:t>
            </w:r>
          </w:p>
        </w:tc>
      </w:tr>
    </w:tbl>
    <w:p/>
    <w:p>
      <w:pPr>
        <w:pStyle w:val="Heading2"/>
      </w:pPr>
      <w:r>
        <w:rPr>
          <w:i w:val="0"/>
          <w:color w:val="000000"/>
        </w:rPr>
        <w:t>TIT-19.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 86.º, n.º 6</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TIT-03, e acrescentar uma norma supletiva: não havendo proprietário conhecido, é titular a entidade a quem a lei comete a responsabilidade pelo animal, designadamente a câmara municipal, através do CRO, nos casos de recolha e nos programas CED. Esta proposta qualifica a da ficha TIT-01: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 TIT-02, TIT-03, CED-08</w:t>
            </w:r>
          </w:p>
        </w:tc>
      </w:tr>
    </w:tbl>
    <w:p/>
    <w:p>
      <w:r>
        <w:br w:type="page"/>
      </w:r>
    </w:p>
    <w:p>
      <w:pPr>
        <w:pStyle w:val="Heading1"/>
      </w:pPr>
      <w:r>
        <w:rPr>
          <w:i w:val="0"/>
          <w:color w:val="000000"/>
        </w:rPr>
        <w:t>4. Capítulo II. Princípios Gerais</w:t>
      </w:r>
    </w:p>
    <w:p>
      <w:pPr>
        <w:pStyle w:val="Heading2"/>
      </w:pPr>
      <w:r>
        <w:rPr>
          <w:i w:val="0"/>
          <w:color w:val="000000"/>
        </w:rPr>
        <w:t>TIT-13.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 salvo animais perigosos (seguro a cargo do titular)</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TIT-14, CED-08</w:t>
            </w:r>
          </w:p>
        </w:tc>
      </w:tr>
    </w:tbl>
    <w:p/>
    <w:p>
      <w:pPr>
        <w:pStyle w:val="Heading2"/>
      </w:pPr>
      <w:r>
        <w:rPr>
          <w:i w:val="0"/>
          <w:color w:val="000000"/>
        </w:rPr>
        <w:t>TIT-16.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CED-10</w:t>
            </w:r>
          </w:p>
        </w:tc>
      </w:tr>
    </w:tbl>
    <w:p/>
    <w:p>
      <w:pPr>
        <w:pStyle w:val="Heading2"/>
      </w:pPr>
      <w:r>
        <w:rPr>
          <w:i w:val="0"/>
          <w:color w:val="000000"/>
        </w:rPr>
        <w:t>BEM-01.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w:t>
            </w:r>
          </w:p>
          <w:p>
            <w:pPr>
              <w:spacing w:after="60"/>
            </w:pPr>
            <w:r>
              <w:rPr>
                <w:b w:val="0"/>
                <w:sz w:val="20"/>
              </w:rPr>
              <w:t>art. 9.º, n.º 1, al. i)</w:t>
            </w:r>
          </w:p>
          <w:p>
            <w:pPr>
              <w:spacing w:after="60"/>
            </w:pPr>
            <w:r>
              <w:rPr>
                <w:b w:val="0"/>
                <w:sz w:val="20"/>
              </w:rPr>
              <w:t>art. 140.º, n.º 2</w:t>
            </w:r>
          </w:p>
          <w:p>
            <w:pPr>
              <w:spacing w:after="60"/>
            </w:pPr>
            <w:r>
              <w:rPr>
                <w:b w:val="0"/>
                <w:sz w:val="20"/>
              </w:rPr>
              <w:t>Artigo principal: art. 19.º, Necessidades comportamentais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Capítulo IV. Detenção em estabelecimentos</w:t>
      </w:r>
    </w:p>
    <w:p>
      <w:pPr>
        <w:pStyle w:val="Heading2"/>
      </w:pPr>
      <w:r>
        <w:rPr>
          <w:i w:val="0"/>
          <w:color w:val="000000"/>
        </w:rPr>
        <w:t>TIT-12.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p>
            <w:pPr>
              <w:spacing w:after="60"/>
            </w:pPr>
            <w:r>
              <w:rPr>
                <w:b w:val="0"/>
                <w:sz w:val="20"/>
              </w:rPr>
              <w:t>Artigo principal: art. 22.º, Obrigações gerais em matéria de bem-estar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Titularidade e detenção;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6. Capítulo VI. Meios de contenção</w:t>
      </w:r>
    </w:p>
    <w:p>
      <w:pPr>
        <w:pStyle w:val="Heading2"/>
      </w:pPr>
      <w:r>
        <w:rPr>
          <w:i w:val="0"/>
          <w:color w:val="000000"/>
        </w:rPr>
        <w:t>CED-12.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w:t>
            </w:r>
          </w:p>
          <w:p>
            <w:pPr>
              <w:spacing w:after="60"/>
            </w:pPr>
            <w:r>
              <w:rPr>
                <w:b w:val="0"/>
                <w:sz w:val="20"/>
              </w:rPr>
              <w:t>art. 3.º, definição de «Animal errante»</w:t>
            </w:r>
          </w:p>
          <w:p>
            <w:pPr>
              <w:spacing w:after="60"/>
            </w:pPr>
            <w:r>
              <w:rPr>
                <w:b w:val="0"/>
                <w:sz w:val="20"/>
              </w:rPr>
              <w:t>art. 91.º, n.º 1, al. a)</w:t>
            </w:r>
          </w:p>
          <w:p>
            <w:pPr>
              <w:spacing w:after="60"/>
            </w:pPr>
            <w:r>
              <w:rPr>
                <w:b w:val="0"/>
                <w:sz w:val="20"/>
              </w:rPr>
              <w:t>Artigo principal: art. 60.º, Obrigatoriedade do uso de coleira ou peitoral e trela ou açaimo (Capítulo VI, Meios de contenção).</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7. Capítulo VIII. Registo e identificação e Sistemas de Informação</w:t>
      </w:r>
    </w:p>
    <w:p>
      <w:pPr>
        <w:pStyle w:val="Heading2"/>
      </w:pPr>
      <w:r>
        <w:rPr>
          <w:i w:val="0"/>
          <w:color w:val="000000"/>
        </w:rPr>
        <w:t>TIT-02.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(TIT-01),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 TIT-14</w:t>
            </w:r>
          </w:p>
        </w:tc>
      </w:tr>
    </w:tbl>
    <w:p/>
    <w:p>
      <w:pPr>
        <w:pStyle w:val="Heading2"/>
      </w:pPr>
      <w:r>
        <w:rPr>
          <w:i w:val="0"/>
          <w:color w:val="000000"/>
        </w:rPr>
        <w:t>TIT-08.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TIT-10.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w:t>
            </w:r>
          </w:p>
          <w:p>
            <w:pPr>
              <w:spacing w:after="60"/>
            </w:pPr>
            <w:r>
              <w:rPr>
                <w:b w:val="0"/>
                <w:sz w:val="20"/>
              </w:rPr>
              <w:t>art. 89.º, n.º 3</w:t>
            </w:r>
          </w:p>
          <w:p>
            <w:pPr>
              <w:spacing w:after="60"/>
            </w:pPr>
            <w:r>
              <w:rPr>
                <w:b w:val="0"/>
                <w:sz w:val="20"/>
              </w:rPr>
              <w:t>art. 95.º, n.º 2</w:t>
            </w:r>
          </w:p>
          <w:p>
            <w:pPr>
              <w:spacing w:after="60"/>
            </w:pPr>
            <w:r>
              <w:rPr>
                <w:b w:val="0"/>
                <w:sz w:val="20"/>
              </w:rPr>
              <w:t>art. 98.º, n.º 13</w:t>
            </w:r>
          </w:p>
          <w:p>
            <w:pPr>
              <w:spacing w:after="60"/>
            </w:pPr>
            <w:r>
              <w:rPr>
                <w:b w:val="0"/>
                <w:sz w:val="20"/>
              </w:rPr>
              <w:t>art. 99.º, n.º 1</w:t>
            </w:r>
          </w:p>
          <w:p>
            <w:pPr>
              <w:spacing w:after="60"/>
            </w:pPr>
            <w:r>
              <w:rPr>
                <w:b w:val="0"/>
                <w:sz w:val="20"/>
              </w:rPr>
              <w:t>Artigo principal: art. 70.º, Situações especiais de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TIT-05.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TIT-04, TIT-06</w:t>
            </w:r>
          </w:p>
        </w:tc>
      </w:tr>
    </w:tbl>
    <w:p/>
    <w:p>
      <w:pPr>
        <w:pStyle w:val="Heading2"/>
      </w:pPr>
      <w:r>
        <w:rPr>
          <w:i w:val="0"/>
          <w:color w:val="000000"/>
        </w:rPr>
        <w:t>TIT-17.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w:t>
            </w:r>
          </w:p>
          <w:p>
            <w:pPr>
              <w:spacing w:after="60"/>
            </w:pPr>
            <w:r>
              <w:rPr>
                <w:b w:val="0"/>
                <w:sz w:val="20"/>
              </w:rPr>
              <w:t>art. 70.º, n.º 2</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(TIT-05).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pPr>
        <w:pStyle w:val="Heading2"/>
      </w:pPr>
      <w:r>
        <w:rPr>
          <w:i w:val="0"/>
          <w:color w:val="000000"/>
        </w:rPr>
        <w:t>TIT-04.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w:t>
            </w:r>
          </w:p>
          <w:p>
            <w:pPr>
              <w:spacing w:after="60"/>
            </w:pPr>
            <w:r>
              <w:rPr>
                <w:b w:val="0"/>
                <w:sz w:val="20"/>
              </w:rPr>
              <w:t>art. 73.º, n.º 3</w:t>
            </w:r>
          </w:p>
          <w:p>
            <w:pPr>
              <w:spacing w:after="60"/>
            </w:pPr>
            <w:r>
              <w:rPr>
                <w:b w:val="0"/>
                <w:sz w:val="20"/>
              </w:rPr>
              <w:t>Artigo principal: art. 76.º, Deveres do titular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r>
        <w:br w:type="page"/>
      </w:r>
    </w:p>
    <w:p>
      <w:pPr>
        <w:pStyle w:val="Heading1"/>
      </w:pPr>
      <w:r>
        <w:rPr>
          <w:i w:val="0"/>
          <w:color w:val="000000"/>
        </w:rPr>
        <w:t>8. Capítulo X. Gestão das populações animais</w:t>
      </w:r>
    </w:p>
    <w:p>
      <w:pPr>
        <w:pStyle w:val="Heading2"/>
      </w:pPr>
      <w:r>
        <w:rPr>
          <w:i w:val="0"/>
          <w:color w:val="000000"/>
        </w:rPr>
        <w:t>CED-03.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w:t>
            </w:r>
          </w:p>
          <w:p>
            <w:pPr>
              <w:spacing w:after="60"/>
            </w:pPr>
            <w:r>
              <w:rPr>
                <w:b w:val="0"/>
                <w:sz w:val="20"/>
              </w:rPr>
              <w:t>art. 140.º, n.º 2 («A alimentação na via pública em violação do disposto no artigo XX.º»)</w:t>
            </w:r>
          </w:p>
          <w:p>
            <w:pPr>
              <w:spacing w:after="60"/>
            </w:pPr>
            <w:r>
              <w:rPr>
                <w:b w:val="0"/>
                <w:sz w:val="20"/>
              </w:rPr>
              <w:t>Artigo principal: art. 84.º, Controlo ambiental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(CED-02) e com o CED dependente de autorização (CED-01),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p>
            <w:pPr>
              <w:spacing w:after="60"/>
            </w:pPr>
            <w:r>
              <w:rPr>
                <w:b w:val="0"/>
                <w:sz w:val="20"/>
              </w:rPr>
              <w:t>Artigo principal: art. 85.º, Controlo das populações errantes e assilvestradas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CED-09</w:t>
            </w:r>
          </w:p>
        </w:tc>
      </w:tr>
    </w:tbl>
    <w:p/>
    <w:p>
      <w:pPr>
        <w:pStyle w:val="Heading2"/>
      </w:pPr>
      <w:r>
        <w:rPr>
          <w:i w:val="0"/>
          <w:color w:val="000000"/>
        </w:rPr>
        <w:t>CED-01.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w:t>
            </w:r>
          </w:p>
          <w:p>
            <w:pPr>
              <w:spacing w:after="60"/>
            </w:pPr>
            <w:r>
              <w:rPr>
                <w:b w:val="0"/>
                <w:sz w:val="20"/>
              </w:rPr>
              <w:t>art. 149.º, n.º 1 (revogação da Lei 27/2016)</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CED-19).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CED-19</w:t>
            </w:r>
          </w:p>
        </w:tc>
      </w:tr>
    </w:tbl>
    <w:p/>
    <w:p>
      <w:pPr>
        <w:pStyle w:val="Heading2"/>
      </w:pPr>
      <w:r>
        <w:rPr>
          <w:i w:val="0"/>
          <w:color w:val="000000"/>
        </w:rPr>
        <w:t>CED-02.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w:t>
            </w:r>
          </w:p>
          <w:p>
            <w:pPr>
              <w:spacing w:after="60"/>
            </w:pPr>
            <w:r>
              <w:rPr>
                <w:b w:val="0"/>
                <w:sz w:val="20"/>
              </w:rPr>
              <w:t>art. 3.º (sem definição)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(TIT-13) e à proibição de alimentar (CED-03).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CED-03, TIT-13, TIT-14</w:t>
            </w:r>
          </w:p>
        </w:tc>
      </w:tr>
    </w:tbl>
    <w:p/>
    <w:p>
      <w:pPr>
        <w:pStyle w:val="Heading2"/>
      </w:pPr>
      <w:r>
        <w:rPr>
          <w:i w:val="0"/>
          <w:color w:val="000000"/>
        </w:rPr>
        <w:t>CED-05.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w:t>
            </w:r>
          </w:p>
          <w:p>
            <w:pPr>
              <w:spacing w:after="60"/>
            </w:pPr>
            <w:r>
              <w:rPr>
                <w:b w:val="0"/>
                <w:sz w:val="20"/>
              </w:rPr>
              <w:t>art. 86.º, n.º 6, al. e)</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TIT-13, CED-04</w:t>
            </w:r>
          </w:p>
        </w:tc>
      </w:tr>
    </w:tbl>
    <w:p/>
    <w:p>
      <w:pPr>
        <w:pStyle w:val="Heading2"/>
      </w:pPr>
      <w:r>
        <w:rPr>
          <w:i w:val="0"/>
          <w:color w:val="000000"/>
        </w:rPr>
        <w:t>CED-09.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w:t>
            </w:r>
          </w:p>
          <w:p>
            <w:pPr>
              <w:spacing w:after="60"/>
            </w:pPr>
            <w:r>
              <w:rPr>
                <w:b w:val="0"/>
                <w:sz w:val="20"/>
              </w:rPr>
              <w:t>art. 5.º</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TIT-15</w:t>
            </w:r>
          </w:p>
        </w:tc>
      </w:tr>
    </w:tbl>
    <w:p/>
    <w:p>
      <w:pPr>
        <w:pStyle w:val="Heading2"/>
      </w:pPr>
      <w:r>
        <w:rPr>
          <w:i w:val="0"/>
          <w:color w:val="000000"/>
        </w:rPr>
        <w:t>CED-14.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CED-07</w:t>
            </w:r>
          </w:p>
        </w:tc>
      </w:tr>
    </w:tbl>
    <w:p/>
    <w:p>
      <w:pPr>
        <w:pStyle w:val="Heading2"/>
      </w:pPr>
      <w:r>
        <w:rPr>
          <w:i w:val="0"/>
          <w:color w:val="000000"/>
        </w:rPr>
        <w:t>CED-15.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CED-14</w:t>
            </w:r>
          </w:p>
        </w:tc>
      </w:tr>
    </w:tbl>
    <w:p/>
    <w:p>
      <w:pPr>
        <w:pStyle w:val="Heading2"/>
      </w:pPr>
      <w:r>
        <w:rPr>
          <w:i w:val="0"/>
          <w:color w:val="000000"/>
        </w:rPr>
        <w:t>CED-10.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p>
            <w:pPr>
              <w:spacing w:after="60"/>
            </w:pPr>
            <w:r>
              <w:rPr>
                <w:b w:val="0"/>
                <w:sz w:val="20"/>
              </w:rPr>
              <w:t>Artigo principal: art. 87.º, Programa CED em prédios privados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TIT-16</w:t>
            </w:r>
          </w:p>
        </w:tc>
      </w:tr>
    </w:tbl>
    <w:p/>
    <w:p>
      <w:pPr>
        <w:pStyle w:val="Heading2"/>
      </w:pPr>
      <w:r>
        <w:rPr>
          <w:i w:val="0"/>
          <w:color w:val="000000"/>
        </w:rPr>
        <w:t>CED-04.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w:t>
            </w:r>
          </w:p>
          <w:p>
            <w:pPr>
              <w:spacing w:after="60"/>
            </w:pPr>
            <w:r>
              <w:rPr>
                <w:b w:val="0"/>
                <w:sz w:val="20"/>
              </w:rPr>
              <w:t>art. 86.º, n.º 4</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CED-08</w:t>
            </w:r>
          </w:p>
        </w:tc>
      </w:tr>
    </w:tbl>
    <w:p/>
    <w:p>
      <w:pPr>
        <w:pStyle w:val="Heading2"/>
      </w:pPr>
      <w:r>
        <w:rPr>
          <w:i w:val="0"/>
          <w:color w:val="000000"/>
        </w:rPr>
        <w:t>CED-19.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91.º (sem norma própria no RGAC)</w:t>
            </w:r>
          </w:p>
          <w:p>
            <w:pPr>
              <w:spacing w:after="60"/>
            </w:pPr>
            <w:r>
              <w:rPr>
                <w:b w:val="0"/>
                <w:sz w:val="20"/>
              </w:rPr>
              <w:t>sem norma própria</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CED-17</w:t>
            </w:r>
          </w:p>
        </w:tc>
      </w:tr>
    </w:tbl>
    <w:p/>
    <w:p>
      <w:pPr>
        <w:pStyle w:val="Heading2"/>
      </w:pPr>
      <w:r>
        <w:rPr>
          <w:i w:val="0"/>
          <w:color w:val="000000"/>
        </w:rPr>
        <w:t>TIT-15.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CED-04).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CED-16, CED-04, TIT-20</w:t>
            </w:r>
          </w:p>
        </w:tc>
      </w:tr>
    </w:tbl>
    <w:p/>
    <w:p>
      <w:pPr>
        <w:pStyle w:val="Heading2"/>
      </w:pPr>
      <w:r>
        <w:rPr>
          <w:i w:val="0"/>
          <w:color w:val="000000"/>
        </w:rPr>
        <w:t>TIT-20.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 94.º, n.ºs 7 e 8</w:t>
            </w:r>
          </w:p>
          <w:p>
            <w:pPr>
              <w:spacing w:after="60"/>
            </w:pPr>
            <w:r>
              <w:rPr>
                <w:b w:val="0"/>
                <w:sz w:val="20"/>
              </w:rPr>
              <w:t>art. 91.º, n.º 9</w:t>
            </w:r>
          </w:p>
          <w:p>
            <w:pPr>
              <w:spacing w:after="60"/>
            </w:pPr>
            <w:r>
              <w:rPr>
                <w:b w:val="0"/>
                <w:sz w:val="20"/>
              </w:rPr>
              <w:t>Artigo principal: art. 94.º, Centros de recolha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TIT-15).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TIT-14, TIT-15</w:t>
            </w:r>
          </w:p>
        </w:tc>
      </w:tr>
    </w:tbl>
    <w:p/>
    <w:p>
      <w:r>
        <w:br w:type="page"/>
      </w:r>
    </w:p>
    <w:p>
      <w:pPr>
        <w:pStyle w:val="Heading1"/>
      </w:pPr>
      <w:r>
        <w:rPr>
          <w:i w:val="0"/>
          <w:color w:val="000000"/>
        </w:rPr>
        <w:t>9. Capítulo XV. Medidas administrativas, fiscalização e contraordenações</w:t>
      </w:r>
    </w:p>
    <w:p>
      <w:pPr>
        <w:pStyle w:val="Heading2"/>
      </w:pPr>
      <w:r>
        <w:rPr>
          <w:i w:val="0"/>
          <w:color w:val="000000"/>
        </w:rPr>
        <w:t>TIT-06.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w:t>
            </w:r>
          </w:p>
          <w:p>
            <w:pPr>
              <w:spacing w:after="60"/>
            </w:pPr>
            <w:r>
              <w:rPr>
                <w:b w:val="0"/>
                <w:sz w:val="20"/>
              </w:rPr>
              <w:t>art. 3.º, definição de «Abandono»</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pPr>
        <w:pStyle w:val="Heading2"/>
      </w:pPr>
      <w:r>
        <w:rPr>
          <w:i w:val="0"/>
          <w:color w:val="000000"/>
        </w:rPr>
        <w:t>TIT-11.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TIT-06</w:t>
            </w:r>
          </w:p>
        </w:tc>
      </w:tr>
    </w:tbl>
    <w:p/>
    <w:p>
      <w:r>
        <w:br w:type="page"/>
      </w:r>
    </w:p>
    <w:p>
      <w:pPr>
        <w:pStyle w:val="Heading1"/>
      </w:pPr>
      <w:r>
        <w:rPr>
          <w:i w:val="0"/>
          <w:color w:val="000000"/>
        </w:rPr>
        <w:t>10. Capítulo XVI. Disposições complementares, finais e transitórias</w:t>
      </w:r>
    </w:p>
    <w:p>
      <w:pPr>
        <w:pStyle w:val="Heading2"/>
      </w:pPr>
      <w:r>
        <w:rPr>
          <w:i w:val="0"/>
          <w:color w:val="000000"/>
        </w:rPr>
        <w:t>TIT-07.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Titularidade e detenção; 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11.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(TIT-07).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69"/>
          <w:pgSz w:w="11906" w:h="16838"/>
          <w:pgMar w:top="1247" w:right="1417" w:bottom="1247" w:left="1417" w:header="720" w:footer="720" w:gutter="0"/>
          <w:cols w:space="720"/>
          <w:docGrid w:linePitch="360"/>
        </w:sectPr>
      </w:pPr>
    </w:p>
    <w:p>
      <w:pPr>
        <w:pStyle w:val="Heading1"/>
      </w:pPr>
      <w:r>
        <w:rPr>
          <w:i w:val="0"/>
          <w:color w:val="000000"/>
        </w:rPr>
        <w:t>Anexo A. Quadro-resumo das fichas, pela ordem do RGAC</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4309"/>
        <w:gridCol w:w="3628"/>
        <w:gridCol w:w="2381"/>
        <w:gridCol w:w="1814"/>
        <w:gridCol w:w="1531"/>
      </w:tblGrid>
      <w:tr>
        <w:trPr>
          <w:tblHeader w:val="true"/>
        </w:trPr>
        <w:tc>
          <w:tcPr>
            <w:tcW w:w="907" w:type="dxa"/>
          </w:tcPr>
          <w:p>
            <w:pPr>
              <w:spacing w:after="60"/>
            </w:pPr>
            <w:r/>
            <w:r>
              <w:rPr>
                <w:b/>
                <w:sz w:val="20"/>
              </w:rPr>
              <w:t>Código</w:t>
            </w:r>
          </w:p>
        </w:tc>
        <w:tc>
          <w:tcPr>
            <w:tcW w:w="4309" w:type="dxa"/>
          </w:tcPr>
          <w:p>
            <w:pPr>
              <w:spacing w:after="60"/>
            </w:pPr>
            <w:r/>
            <w:r>
              <w:rPr>
                <w:b/>
                <w:sz w:val="20"/>
              </w:rPr>
              <w:t>Assunto</w:t>
            </w:r>
          </w:p>
        </w:tc>
        <w:tc>
          <w:tcPr>
            <w:tcW w:w="3628" w:type="dxa"/>
          </w:tcPr>
          <w:p>
            <w:pPr>
              <w:spacing w:after="60"/>
            </w:pPr>
            <w:r/>
            <w:r>
              <w:rPr>
                <w:b/>
                <w:sz w:val="20"/>
              </w:rPr>
              <w:t>Artigo principal</w:t>
            </w:r>
          </w:p>
        </w:tc>
        <w:tc>
          <w:tcPr>
            <w:tcW w:w="2381" w:type="dxa"/>
          </w:tcPr>
          <w:p>
            <w:pPr>
              <w:spacing w:after="60"/>
            </w:pPr>
            <w:r/>
            <w:r>
              <w:rPr>
                <w:b/>
                <w:sz w:val="20"/>
              </w:rPr>
              <w:t>Etiquetas</w:t>
            </w:r>
          </w:p>
        </w:tc>
        <w:tc>
          <w:tcPr>
            <w:tcW w:w="1814" w:type="dxa"/>
          </w:tcPr>
          <w:p>
            <w:pPr>
              <w:spacing w:after="60"/>
            </w:pPr>
            <w:r/>
            <w:r>
              <w:rPr>
                <w:b/>
                <w:sz w:val="20"/>
              </w:rPr>
              <w:t>Origem</w:t>
            </w:r>
          </w:p>
        </w:tc>
        <w:tc>
          <w:tcPr>
            <w:tcW w:w="1531" w:type="dxa"/>
          </w:tcPr>
          <w:p>
            <w:pPr>
              <w:spacing w:after="60"/>
            </w:pPr>
            <w:r/>
            <w:r>
              <w:rPr>
                <w:b/>
                <w:sz w:val="20"/>
              </w:rPr>
              <w:t>Estado</w:t>
            </w:r>
          </w:p>
        </w:tc>
      </w:tr>
      <w:tr>
        <w:tc>
          <w:tcPr>
            <w:tcW w:w="14570" w:type="dxa"/>
            <w:gridSpan w:val="6"/>
          </w:tcPr>
          <w:p>
            <w:pPr>
              <w:spacing w:after="60"/>
            </w:pPr>
            <w:r/>
            <w:r>
              <w:rPr>
                <w:b/>
                <w:sz w:val="20"/>
              </w:rPr>
              <w:t>Capítulo I. Disposições Gerais</w:t>
            </w:r>
          </w:p>
        </w:tc>
      </w:tr>
      <w:tr>
        <w:tc>
          <w:tcPr>
            <w:tcW w:w="907" w:type="dxa"/>
          </w:tcPr>
          <w:p>
            <w:pPr>
              <w:spacing w:after="60"/>
            </w:pPr>
            <w:r/>
            <w:r>
              <w:rPr>
                <w:b w:val="0"/>
                <w:sz w:val="20"/>
              </w:rPr>
              <w:t>REG-01</w:t>
            </w:r>
          </w:p>
        </w:tc>
        <w:tc>
          <w:tcPr>
            <w:tcW w:w="4309" w:type="dxa"/>
          </w:tcPr>
          <w:p>
            <w:pPr>
              <w:spacing w:after="60"/>
            </w:pPr>
            <w:r/>
            <w:r>
              <w:rPr>
                <w:b w:val="0"/>
                <w:sz w:val="20"/>
              </w:rPr>
              <w:t>Duas normas diferentes sobre que espécies são animais de companhia</w:t>
            </w:r>
          </w:p>
        </w:tc>
        <w:tc>
          <w:tcPr>
            <w:tcW w:w="3628" w:type="dxa"/>
          </w:tcPr>
          <w:p>
            <w:pPr>
              <w:spacing w:after="60"/>
            </w:pPr>
            <w:r/>
            <w:r>
              <w:rPr>
                <w:b w:val="0"/>
                <w:sz w:val="20"/>
              </w:rPr>
              <w:t>art. 2.º, Âmbito Objetivo</w:t>
            </w:r>
          </w:p>
        </w:tc>
        <w:tc>
          <w:tcPr>
            <w:tcW w:w="2381" w:type="dxa"/>
          </w:tcPr>
          <w:p>
            <w:pPr>
              <w:spacing w:after="60"/>
            </w:pPr>
            <w:r/>
            <w:r>
              <w:rPr>
                <w:b w:val="0"/>
                <w:sz w:val="20"/>
              </w:rPr>
              <w:t>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CED-18</w:t>
            </w:r>
          </w:p>
        </w:tc>
        <w:tc>
          <w:tcPr>
            <w:tcW w:w="4309" w:type="dxa"/>
          </w:tcPr>
          <w:p>
            <w:pPr>
              <w:spacing w:after="60"/>
            </w:pPr>
            <w:r/>
            <w:r>
              <w:rPr>
                <w:b w:val="0"/>
                <w:sz w:val="20"/>
              </w:rPr>
              <w:t>A definição de animal errante passa a abranger qualquer animal não identificado</w:t>
            </w:r>
          </w:p>
        </w:tc>
        <w:tc>
          <w:tcPr>
            <w:tcW w:w="3628" w:type="dxa"/>
          </w:tcPr>
          <w:p>
            <w:pPr>
              <w:spacing w:after="60"/>
            </w:pPr>
            <w:r/>
            <w:r>
              <w:rPr>
                <w:b w:val="0"/>
                <w:sz w:val="20"/>
              </w:rPr>
              <w:t>art. 3.º, Definições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TIT-01</w:t>
            </w:r>
          </w:p>
        </w:tc>
        <w:tc>
          <w:tcPr>
            <w:tcW w:w="4309" w:type="dxa"/>
          </w:tcPr>
          <w:p>
            <w:pPr>
              <w:spacing w:after="60"/>
            </w:pPr>
            <w:r/>
            <w:r>
              <w:rPr>
                <w:b w:val="0"/>
                <w:sz w:val="20"/>
              </w:rPr>
              <w:t>A definição de titular depende só do registo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TIT-03</w:t>
            </w:r>
          </w:p>
        </w:tc>
        <w:tc>
          <w:tcPr>
            <w:tcW w:w="4309" w:type="dxa"/>
          </w:tcPr>
          <w:p>
            <w:pPr>
              <w:spacing w:after="60"/>
            </w:pPr>
            <w:r/>
            <w:r>
              <w:rPr>
                <w:b w:val="0"/>
                <w:sz w:val="20"/>
              </w:rPr>
              <w:t>Sem regra sobre o valor do registo SIAC face à propriedade</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TIT-09</w:t>
            </w:r>
          </w:p>
        </w:tc>
        <w:tc>
          <w:tcPr>
            <w:tcW w:w="4309" w:type="dxa"/>
          </w:tcPr>
          <w:p>
            <w:pPr>
              <w:spacing w:after="60"/>
            </w:pPr>
            <w:r/>
            <w:r>
              <w:rPr>
                <w:b w:val="0"/>
                <w:sz w:val="20"/>
              </w:rPr>
              <w:t>«Titular ou operador» quando o operador já é titular</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TIT-14</w:t>
            </w:r>
          </w:p>
        </w:tc>
        <w:tc>
          <w:tcPr>
            <w:tcW w:w="4309" w:type="dxa"/>
          </w:tcPr>
          <w:p>
            <w:pPr>
              <w:spacing w:after="60"/>
            </w:pPr>
            <w:r/>
            <w:r>
              <w:rPr>
                <w:b w:val="0"/>
                <w:sz w:val="20"/>
              </w:rPr>
              <w:t>Família de acolhimento sem operador fica sem enquadramento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TIT-18</w:t>
            </w:r>
          </w:p>
        </w:tc>
        <w:tc>
          <w:tcPr>
            <w:tcW w:w="4309" w:type="dxa"/>
          </w:tcPr>
          <w:p>
            <w:pPr>
              <w:spacing w:after="60"/>
            </w:pPr>
            <w:r/>
            <w:r>
              <w:rPr>
                <w:b w:val="0"/>
                <w:sz w:val="20"/>
              </w:rPr>
              <w:t>Animais deixados em centros veterinários</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TIT-19</w:t>
            </w:r>
          </w:p>
        </w:tc>
        <w:tc>
          <w:tcPr>
            <w:tcW w:w="4309" w:type="dxa"/>
          </w:tcPr>
          <w:p>
            <w:pPr>
              <w:spacing w:after="60"/>
            </w:pPr>
            <w:r/>
            <w:r>
              <w:rPr>
                <w:b w:val="0"/>
                <w:sz w:val="20"/>
              </w:rPr>
              <w:t>Nada diz quem é titular quando o animal não tem proprietário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II. Princípios Gerais</w:t>
            </w:r>
          </w:p>
        </w:tc>
      </w:tr>
      <w:tr>
        <w:tc>
          <w:tcPr>
            <w:tcW w:w="907" w:type="dxa"/>
          </w:tcPr>
          <w:p>
            <w:pPr>
              <w:spacing w:after="60"/>
            </w:pPr>
            <w:r/>
            <w:r>
              <w:rPr>
                <w:b w:val="0"/>
                <w:sz w:val="20"/>
              </w:rPr>
              <w:t>TIT-13</w:t>
            </w:r>
          </w:p>
        </w:tc>
        <w:tc>
          <w:tcPr>
            <w:tcW w:w="4309" w:type="dxa"/>
          </w:tcPr>
          <w:p>
            <w:pPr>
              <w:spacing w:after="60"/>
            </w:pPr>
            <w:r/>
            <w:r>
              <w:rPr>
                <w:b w:val="0"/>
                <w:sz w:val="20"/>
              </w:rPr>
              <w:t>Quem responde pelos danos causados pelo animal</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TIT-16</w:t>
            </w:r>
          </w:p>
        </w:tc>
        <w:tc>
          <w:tcPr>
            <w:tcW w:w="4309" w:type="dxa"/>
          </w:tcPr>
          <w:p>
            <w:pPr>
              <w:spacing w:after="60"/>
            </w:pPr>
            <w:r/>
            <w:r>
              <w:rPr>
                <w:b w:val="0"/>
                <w:sz w:val="20"/>
              </w:rPr>
              <w:t>Detentores de facto que dizem tratar de animais errantes</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BEM-01</w:t>
            </w:r>
          </w:p>
        </w:tc>
        <w:tc>
          <w:tcPr>
            <w:tcW w:w="4309" w:type="dxa"/>
          </w:tcPr>
          <w:p>
            <w:pPr>
              <w:spacing w:after="60"/>
            </w:pPr>
            <w:r/>
            <w:r>
              <w:rPr>
                <w:b w:val="0"/>
                <w:sz w:val="20"/>
              </w:rPr>
              <w:t>A amarração no domicílio fica sem duração máxima nem requisitos verificáveis</w:t>
            </w:r>
          </w:p>
        </w:tc>
        <w:tc>
          <w:tcPr>
            <w:tcW w:w="3628" w:type="dxa"/>
          </w:tcPr>
          <w:p>
            <w:pPr>
              <w:spacing w:after="60"/>
            </w:pPr>
            <w:r/>
            <w:r>
              <w:rPr>
                <w:b w:val="0"/>
                <w:sz w:val="20"/>
              </w:rPr>
              <w:t>art. 19.º, Necessidades comportamentais</w:t>
            </w:r>
          </w:p>
        </w:tc>
        <w:tc>
          <w:tcPr>
            <w:tcW w:w="2381" w:type="dxa"/>
          </w:tcPr>
          <w:p>
            <w:pPr>
              <w:spacing w:after="60"/>
            </w:pPr>
            <w:r/>
            <w:r>
              <w:rPr>
                <w:b w:val="0"/>
                <w:sz w:val="20"/>
              </w:rPr>
              <w:t>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IV. Detenção em estabelecimentos</w:t>
            </w:r>
          </w:p>
        </w:tc>
      </w:tr>
      <w:tr>
        <w:tc>
          <w:tcPr>
            <w:tcW w:w="907" w:type="dxa"/>
          </w:tcPr>
          <w:p>
            <w:pPr>
              <w:spacing w:after="60"/>
            </w:pPr>
            <w:r/>
            <w:r>
              <w:rPr>
                <w:b w:val="0"/>
                <w:sz w:val="20"/>
              </w:rPr>
              <w:t>TIT-12</w:t>
            </w:r>
          </w:p>
        </w:tc>
        <w:tc>
          <w:tcPr>
            <w:tcW w:w="4309" w:type="dxa"/>
          </w:tcPr>
          <w:p>
            <w:pPr>
              <w:spacing w:after="60"/>
            </w:pPr>
            <w:r/>
            <w:r>
              <w:rPr>
                <w:b w:val="0"/>
                <w:sz w:val="20"/>
              </w:rPr>
              <w:t>Redação por decidir no art. 22.º</w:t>
            </w:r>
          </w:p>
        </w:tc>
        <w:tc>
          <w:tcPr>
            <w:tcW w:w="3628" w:type="dxa"/>
          </w:tcPr>
          <w:p>
            <w:pPr>
              <w:spacing w:after="60"/>
            </w:pPr>
            <w:r/>
            <w:r>
              <w:rPr>
                <w:b w:val="0"/>
                <w:sz w:val="20"/>
              </w:rPr>
              <w:t>art. 22.º, Obrigações gerais em matéria de bem-estar</w:t>
            </w:r>
          </w:p>
        </w:tc>
        <w:tc>
          <w:tcPr>
            <w:tcW w:w="2381" w:type="dxa"/>
          </w:tcPr>
          <w:p>
            <w:pPr>
              <w:spacing w:after="60"/>
            </w:pPr>
            <w:r/>
            <w:r>
              <w:rPr>
                <w:b w:val="0"/>
                <w:sz w:val="20"/>
              </w:rPr>
              <w:t>Titularidade e detenção;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 Meios de contenção</w:t>
            </w:r>
          </w:p>
        </w:tc>
      </w:tr>
      <w:tr>
        <w:tc>
          <w:tcPr>
            <w:tcW w:w="907" w:type="dxa"/>
          </w:tcPr>
          <w:p>
            <w:pPr>
              <w:spacing w:after="60"/>
            </w:pPr>
            <w:r/>
            <w:r>
              <w:rPr>
                <w:b w:val="0"/>
                <w:sz w:val="20"/>
              </w:rPr>
              <w:t>CED-12</w:t>
            </w:r>
          </w:p>
        </w:tc>
        <w:tc>
          <w:tcPr>
            <w:tcW w:w="4309" w:type="dxa"/>
          </w:tcPr>
          <w:p>
            <w:pPr>
              <w:spacing w:after="60"/>
            </w:pPr>
            <w:r/>
            <w:r>
              <w:rPr>
                <w:b w:val="0"/>
                <w:sz w:val="20"/>
              </w:rPr>
              <w:t>Gatos de colónia em infração permanente</w:t>
            </w:r>
          </w:p>
        </w:tc>
        <w:tc>
          <w:tcPr>
            <w:tcW w:w="3628" w:type="dxa"/>
          </w:tcPr>
          <w:p>
            <w:pPr>
              <w:spacing w:after="60"/>
            </w:pPr>
            <w:r/>
            <w:r>
              <w:rPr>
                <w:b w:val="0"/>
                <w:sz w:val="20"/>
              </w:rPr>
              <w:t>art. 60.º, Obrigatoriedade do uso de coleira ou peitoral e trela ou açaimo</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VIII. Registo e identificação e Sistemas de Informação</w:t>
            </w:r>
          </w:p>
        </w:tc>
      </w:tr>
      <w:tr>
        <w:tc>
          <w:tcPr>
            <w:tcW w:w="907" w:type="dxa"/>
          </w:tcPr>
          <w:p>
            <w:pPr>
              <w:spacing w:after="60"/>
            </w:pPr>
            <w:r/>
            <w:r>
              <w:rPr>
                <w:b w:val="0"/>
                <w:sz w:val="20"/>
              </w:rPr>
              <w:t>TIT-02</w:t>
            </w:r>
          </w:p>
        </w:tc>
        <w:tc>
          <w:tcPr>
            <w:tcW w:w="4309" w:type="dxa"/>
          </w:tcPr>
          <w:p>
            <w:pPr>
              <w:spacing w:after="60"/>
            </w:pPr>
            <w:r/>
            <w:r>
              <w:rPr>
                <w:b w:val="0"/>
                <w:sz w:val="20"/>
              </w:rPr>
              <w:t>Registo em nome de quem detém o animal e não de quem é dono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TIT-08</w:t>
            </w:r>
          </w:p>
        </w:tc>
        <w:tc>
          <w:tcPr>
            <w:tcW w:w="4309" w:type="dxa"/>
          </w:tcPr>
          <w:p>
            <w:pPr>
              <w:spacing w:after="60"/>
            </w:pPr>
            <w:r/>
            <w:r>
              <w:rPr>
                <w:b w:val="0"/>
                <w:sz w:val="20"/>
              </w:rPr>
              <w:t>Animais perigosos: o operador pode ser uma sociedade, o titular não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TIT-10</w:t>
            </w:r>
          </w:p>
        </w:tc>
        <w:tc>
          <w:tcPr>
            <w:tcW w:w="4309" w:type="dxa"/>
          </w:tcPr>
          <w:p>
            <w:pPr>
              <w:spacing w:after="60"/>
            </w:pPr>
            <w:r/>
            <w:r>
              <w:rPr>
                <w:b w:val="0"/>
                <w:sz w:val="20"/>
              </w:rPr>
              <w:t>Terminologia do CRO ainda não uniforme</w:t>
            </w:r>
          </w:p>
        </w:tc>
        <w:tc>
          <w:tcPr>
            <w:tcW w:w="3628" w:type="dxa"/>
          </w:tcPr>
          <w:p>
            <w:pPr>
              <w:spacing w:after="60"/>
            </w:pPr>
            <w:r/>
            <w:r>
              <w:rPr>
                <w:b w:val="0"/>
                <w:sz w:val="20"/>
              </w:rPr>
              <w:t>art. 70.º, Situações especiais de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TIT-05</w:t>
            </w:r>
          </w:p>
        </w:tc>
        <w:tc>
          <w:tcPr>
            <w:tcW w:w="4309" w:type="dxa"/>
          </w:tcPr>
          <w:p>
            <w:pPr>
              <w:spacing w:after="60"/>
            </w:pPr>
            <w:r/>
            <w:r>
              <w:rPr>
                <w:b w:val="0"/>
                <w:sz w:val="20"/>
              </w:rPr>
              <w:t>A presunção de abandono remete para normas erradas e não diz a quem se aplica</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TIT-17</w:t>
            </w:r>
          </w:p>
        </w:tc>
        <w:tc>
          <w:tcPr>
            <w:tcW w:w="4309" w:type="dxa"/>
          </w:tcPr>
          <w:p>
            <w:pPr>
              <w:spacing w:after="60"/>
            </w:pPr>
            <w:r/>
            <w:r>
              <w:rPr>
                <w:b w:val="0"/>
                <w:sz w:val="20"/>
              </w:rPr>
              <w:t>Prazos de comunicação ao SIAC mais pesados do que o Regulamento europeu</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TIT-04</w:t>
            </w:r>
          </w:p>
        </w:tc>
        <w:tc>
          <w:tcPr>
            <w:tcW w:w="4309" w:type="dxa"/>
          </w:tcPr>
          <w:p>
            <w:pPr>
              <w:spacing w:after="60"/>
            </w:pPr>
            <w:r/>
            <w:r>
              <w:rPr>
                <w:b w:val="0"/>
                <w:sz w:val="20"/>
              </w:rPr>
              <w:t>O detentor deixa de ter de comunicar a morte do animal</w:t>
            </w:r>
          </w:p>
        </w:tc>
        <w:tc>
          <w:tcPr>
            <w:tcW w:w="3628" w:type="dxa"/>
          </w:tcPr>
          <w:p>
            <w:pPr>
              <w:spacing w:after="60"/>
            </w:pPr>
            <w:r/>
            <w:r>
              <w:rPr>
                <w:b w:val="0"/>
                <w:sz w:val="20"/>
              </w:rPr>
              <w:t>art. 76.º, Deveres do titular</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 Gestão das populações animais</w:t>
            </w:r>
          </w:p>
        </w:tc>
      </w:tr>
      <w:tr>
        <w:tc>
          <w:tcPr>
            <w:tcW w:w="907" w:type="dxa"/>
          </w:tcPr>
          <w:p>
            <w:pPr>
              <w:spacing w:after="60"/>
            </w:pPr>
            <w:r/>
            <w:r>
              <w:rPr>
                <w:b w:val="0"/>
                <w:sz w:val="20"/>
              </w:rPr>
              <w:t>CED-03</w:t>
            </w:r>
          </w:p>
        </w:tc>
        <w:tc>
          <w:tcPr>
            <w:tcW w:w="4309" w:type="dxa"/>
          </w:tcPr>
          <w:p>
            <w:pPr>
              <w:spacing w:after="60"/>
            </w:pPr>
            <w:r/>
            <w:r>
              <w:rPr>
                <w:b w:val="0"/>
                <w:sz w:val="20"/>
              </w:rPr>
              <w:t>Proibição nacional de alimentar animais na via pública</w:t>
            </w:r>
          </w:p>
        </w:tc>
        <w:tc>
          <w:tcPr>
            <w:tcW w:w="3628" w:type="dxa"/>
          </w:tcPr>
          <w:p>
            <w:pPr>
              <w:spacing w:after="60"/>
            </w:pPr>
            <w:r/>
            <w:r>
              <w:rPr>
                <w:b w:val="0"/>
                <w:sz w:val="20"/>
              </w:rPr>
              <w:t>art. 84.º, Controlo ambiental</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CED-17</w:t>
            </w:r>
          </w:p>
        </w:tc>
        <w:tc>
          <w:tcPr>
            <w:tcW w:w="4309" w:type="dxa"/>
          </w:tcPr>
          <w:p>
            <w:pPr>
              <w:spacing w:after="60"/>
            </w:pPr>
            <w:r/>
            <w:r>
              <w:rPr>
                <w:b w:val="0"/>
                <w:sz w:val="20"/>
              </w:rPr>
              <w:t>Plano municipal de controlo de errantes sem conteúdo mínimo nem consequências</w:t>
            </w:r>
          </w:p>
        </w:tc>
        <w:tc>
          <w:tcPr>
            <w:tcW w:w="3628" w:type="dxa"/>
          </w:tcPr>
          <w:p>
            <w:pPr>
              <w:spacing w:after="60"/>
            </w:pPr>
            <w:r/>
            <w:r>
              <w:rPr>
                <w:b w:val="0"/>
                <w:sz w:val="20"/>
              </w:rPr>
              <w:t>art. 85.º, Controlo das populações errantes e assilvestradas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CED-01</w:t>
            </w:r>
          </w:p>
        </w:tc>
        <w:tc>
          <w:tcPr>
            <w:tcW w:w="4309" w:type="dxa"/>
          </w:tcPr>
          <w:p>
            <w:pPr>
              <w:spacing w:after="60"/>
            </w:pPr>
            <w:r/>
            <w:r>
              <w:rPr>
                <w:b w:val="0"/>
                <w:sz w:val="20"/>
              </w:rPr>
              <w:t>O CED passa a ser só uma faculdade das câmaras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CED-02</w:t>
            </w:r>
          </w:p>
        </w:tc>
        <w:tc>
          <w:tcPr>
            <w:tcW w:w="4309" w:type="dxa"/>
          </w:tcPr>
          <w:p>
            <w:pPr>
              <w:spacing w:after="60"/>
            </w:pPr>
            <w:r/>
            <w:r>
              <w:rPr>
                <w:b w:val="0"/>
                <w:sz w:val="20"/>
              </w:rPr>
              <w:t>O cuidador de colónia não existe no texto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CED-05</w:t>
            </w:r>
          </w:p>
        </w:tc>
        <w:tc>
          <w:tcPr>
            <w:tcW w:w="4309" w:type="dxa"/>
          </w:tcPr>
          <w:p>
            <w:pPr>
              <w:spacing w:after="60"/>
            </w:pPr>
            <w:r/>
            <w:r>
              <w:rPr>
                <w:b w:val="0"/>
                <w:sz w:val="20"/>
              </w:rPr>
              <w:t>Passagem obrigatória pelo CRO antes de o gato entrar na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CED-06</w:t>
            </w:r>
          </w:p>
        </w:tc>
        <w:tc>
          <w:tcPr>
            <w:tcW w:w="4309" w:type="dxa"/>
          </w:tcPr>
          <w:p>
            <w:pPr>
              <w:spacing w:after="60"/>
            </w:pPr>
            <w:r/>
            <w:r>
              <w:rPr>
                <w:b w:val="0"/>
                <w:sz w:val="20"/>
              </w:rPr>
              <w:t>Exclusão dos cães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CED-07</w:t>
            </w:r>
          </w:p>
        </w:tc>
        <w:tc>
          <w:tcPr>
            <w:tcW w:w="4309" w:type="dxa"/>
          </w:tcPr>
          <w:p>
            <w:pPr>
              <w:spacing w:after="60"/>
            </w:pPr>
            <w:r/>
            <w:r>
              <w:rPr>
                <w:b w:val="0"/>
                <w:sz w:val="20"/>
              </w:rPr>
              <w:t>Remissões e numeração erradas no artigo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CED-08</w:t>
            </w:r>
          </w:p>
        </w:tc>
        <w:tc>
          <w:tcPr>
            <w:tcW w:w="4309" w:type="dxa"/>
          </w:tcPr>
          <w:p>
            <w:pPr>
              <w:spacing w:after="60"/>
            </w:pPr>
            <w:r/>
            <w:r>
              <w:rPr>
                <w:b w:val="0"/>
                <w:sz w:val="20"/>
              </w:rPr>
              <w:t>Entidade promotora, entidade responsável e titular: quem responde pela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CED-09</w:t>
            </w:r>
          </w:p>
        </w:tc>
        <w:tc>
          <w:tcPr>
            <w:tcW w:w="4309" w:type="dxa"/>
          </w:tcPr>
          <w:p>
            <w:pPr>
              <w:spacing w:after="60"/>
            </w:pPr>
            <w:r/>
            <w:r>
              <w:rPr>
                <w:b w:val="0"/>
                <w:sz w:val="20"/>
              </w:rPr>
              <w:t>Registo da colónia no SIAC sem conteúdo definido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CED-11</w:t>
            </w:r>
          </w:p>
        </w:tc>
        <w:tc>
          <w:tcPr>
            <w:tcW w:w="4309" w:type="dxa"/>
          </w:tcPr>
          <w:p>
            <w:pPr>
              <w:spacing w:after="60"/>
            </w:pPr>
            <w:r/>
            <w:r>
              <w:rPr>
                <w:b w:val="0"/>
                <w:sz w:val="20"/>
              </w:rPr>
              <w:t>CED e conservação da natureza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CED-13</w:t>
            </w:r>
          </w:p>
        </w:tc>
        <w:tc>
          <w:tcPr>
            <w:tcW w:w="4309" w:type="dxa"/>
          </w:tcPr>
          <w:p>
            <w:pPr>
              <w:spacing w:after="60"/>
            </w:pPr>
            <w:r/>
            <w:r>
              <w:rPr>
                <w:b w:val="0"/>
                <w:sz w:val="20"/>
              </w:rPr>
              <w:t>Crias e gatos sociáveis: retirar ou devolver</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CED-14</w:t>
            </w:r>
          </w:p>
        </w:tc>
        <w:tc>
          <w:tcPr>
            <w:tcW w:w="4309" w:type="dxa"/>
          </w:tcPr>
          <w:p>
            <w:pPr>
              <w:spacing w:after="60"/>
            </w:pPr>
            <w:r/>
            <w:r>
              <w:rPr>
                <w:b w:val="0"/>
                <w:sz w:val="20"/>
              </w:rPr>
              <w:t>Suspensão do programa e recolha dos gatos sem garantias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CED-15</w:t>
            </w:r>
          </w:p>
        </w:tc>
        <w:tc>
          <w:tcPr>
            <w:tcW w:w="4309" w:type="dxa"/>
          </w:tcPr>
          <w:p>
            <w:pPr>
              <w:spacing w:after="60"/>
            </w:pPr>
            <w:r/>
            <w:r>
              <w:rPr>
                <w:b w:val="0"/>
                <w:sz w:val="20"/>
              </w:rPr>
              <w:t>Meios: médicos veterinários municipais e financiamento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CED-16</w:t>
            </w:r>
          </w:p>
        </w:tc>
        <w:tc>
          <w:tcPr>
            <w:tcW w:w="4309" w:type="dxa"/>
          </w:tcPr>
          <w:p>
            <w:pPr>
              <w:spacing w:after="60"/>
            </w:pPr>
            <w:r/>
            <w:r>
              <w:rPr>
                <w:b w:val="0"/>
                <w:sz w:val="20"/>
              </w:rPr>
              <w:t>Conflito com vizinhos e dimensão da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CED-10</w:t>
            </w:r>
          </w:p>
        </w:tc>
        <w:tc>
          <w:tcPr>
            <w:tcW w:w="4309" w:type="dxa"/>
          </w:tcPr>
          <w:p>
            <w:pPr>
              <w:spacing w:after="60"/>
            </w:pPr>
            <w:r/>
            <w:r>
              <w:rPr>
                <w:b w:val="0"/>
                <w:sz w:val="20"/>
              </w:rPr>
              <w:t>Colónias em prédios privados</w:t>
            </w:r>
          </w:p>
        </w:tc>
        <w:tc>
          <w:tcPr>
            <w:tcW w:w="3628" w:type="dxa"/>
          </w:tcPr>
          <w:p>
            <w:pPr>
              <w:spacing w:after="60"/>
            </w:pPr>
            <w:r/>
            <w:r>
              <w:rPr>
                <w:b w:val="0"/>
                <w:sz w:val="20"/>
              </w:rPr>
              <w:t>art. 87.º, Programa CED em prédios privados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CED-04</w:t>
            </w:r>
          </w:p>
        </w:tc>
        <w:tc>
          <w:tcPr>
            <w:tcW w:w="4309" w:type="dxa"/>
          </w:tcPr>
          <w:p>
            <w:pPr>
              <w:spacing w:after="60"/>
            </w:pPr>
            <w:r/>
            <w:r>
              <w:rPr>
                <w:b w:val="0"/>
                <w:sz w:val="20"/>
              </w:rPr>
              <w:t>Só as câmaras podem capturar, mas o CED pode ser gerido por outras entidades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CED-19</w:t>
            </w:r>
          </w:p>
        </w:tc>
        <w:tc>
          <w:tcPr>
            <w:tcW w:w="4309" w:type="dxa"/>
          </w:tcPr>
          <w:p>
            <w:pPr>
              <w:spacing w:after="60"/>
            </w:pPr>
            <w:r/>
            <w:r>
              <w:rPr>
                <w:b w:val="0"/>
                <w:sz w:val="20"/>
              </w:rPr>
              <w:t>A Lei 75/2013 ainda atribui às câmaras o abate de canídeos e gatídeos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TIT-15</w:t>
            </w:r>
          </w:p>
        </w:tc>
        <w:tc>
          <w:tcPr>
            <w:tcW w:w="4309" w:type="dxa"/>
          </w:tcPr>
          <w:p>
            <w:pPr>
              <w:spacing w:after="60"/>
            </w:pPr>
            <w:r/>
            <w:r>
              <w:rPr>
                <w:b w:val="0"/>
                <w:sz w:val="20"/>
              </w:rPr>
              <w:t>Quem encontra um animal passa a poder ser punido</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TIT-20</w:t>
            </w:r>
          </w:p>
        </w:tc>
        <w:tc>
          <w:tcPr>
            <w:tcW w:w="4309" w:type="dxa"/>
          </w:tcPr>
          <w:p>
            <w:pPr>
              <w:spacing w:after="60"/>
            </w:pPr>
            <w:r/>
            <w:r>
              <w:rPr>
                <w:b w:val="0"/>
                <w:sz w:val="20"/>
              </w:rPr>
              <w:t>Quem acolhe um animal errante pode ficar sem saída lícita</w:t>
            </w:r>
          </w:p>
        </w:tc>
        <w:tc>
          <w:tcPr>
            <w:tcW w:w="3628" w:type="dxa"/>
          </w:tcPr>
          <w:p>
            <w:pPr>
              <w:spacing w:after="60"/>
            </w:pPr>
            <w:r/>
            <w:r>
              <w:rPr>
                <w:b w:val="0"/>
                <w:sz w:val="20"/>
              </w:rPr>
              <w:t>art. 94.º, Centros de recolha</w:t>
            </w:r>
          </w:p>
        </w:tc>
        <w:tc>
          <w:tcPr>
            <w:tcW w:w="2381" w:type="dxa"/>
          </w:tcPr>
          <w:p>
            <w:pPr>
              <w:spacing w:after="60"/>
            </w:pPr>
            <w:r/>
            <w:r>
              <w:rPr>
                <w:b w:val="0"/>
                <w:sz w:val="20"/>
              </w:rPr>
              <w:t>Titularidade e detenção; 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XV. Medidas administrativas, fiscalização e contraordenações</w:t>
            </w:r>
          </w:p>
        </w:tc>
      </w:tr>
      <w:tr>
        <w:tc>
          <w:tcPr>
            <w:tcW w:w="907" w:type="dxa"/>
          </w:tcPr>
          <w:p>
            <w:pPr>
              <w:spacing w:after="60"/>
            </w:pPr>
            <w:r/>
            <w:r>
              <w:rPr>
                <w:b w:val="0"/>
                <w:sz w:val="20"/>
              </w:rPr>
              <w:t>TIT-06</w:t>
            </w:r>
          </w:p>
        </w:tc>
        <w:tc>
          <w:tcPr>
            <w:tcW w:w="4309" w:type="dxa"/>
          </w:tcPr>
          <w:p>
            <w:pPr>
              <w:spacing w:after="60"/>
            </w:pPr>
            <w:r/>
            <w:r>
              <w:rPr>
                <w:b w:val="0"/>
                <w:sz w:val="20"/>
              </w:rPr>
              <w:t>O abandono não aparece como contraordenação</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TIT-11</w:t>
            </w:r>
          </w:p>
        </w:tc>
        <w:tc>
          <w:tcPr>
            <w:tcW w:w="4309" w:type="dxa"/>
          </w:tcPr>
          <w:p>
            <w:pPr>
              <w:spacing w:after="60"/>
            </w:pPr>
            <w:r/>
            <w:r>
              <w:rPr>
                <w:b w:val="0"/>
                <w:sz w:val="20"/>
              </w:rPr>
              <w:t>Contraordenação dirigida só aos detentores</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XVI. Disposições complementares, finais e transitórias</w:t>
            </w:r>
          </w:p>
        </w:tc>
      </w:tr>
      <w:tr>
        <w:tc>
          <w:tcPr>
            <w:tcW w:w="907" w:type="dxa"/>
          </w:tcPr>
          <w:p>
            <w:pPr>
              <w:spacing w:after="60"/>
            </w:pPr>
            <w:r/>
            <w:r>
              <w:rPr>
                <w:b w:val="0"/>
                <w:sz w:val="20"/>
              </w:rPr>
              <w:t>TIT-07</w:t>
            </w:r>
          </w:p>
        </w:tc>
        <w:tc>
          <w:tcPr>
            <w:tcW w:w="4309" w:type="dxa"/>
          </w:tcPr>
          <w:p>
            <w:pPr>
              <w:spacing w:after="60"/>
            </w:pPr>
            <w:r/>
            <w:r>
              <w:rPr>
                <w:b w:val="0"/>
                <w:sz w:val="20"/>
              </w:rPr>
              <w:t>As portarias mantidas usam detentor no sentido antigo</w:t>
            </w:r>
          </w:p>
        </w:tc>
        <w:tc>
          <w:tcPr>
            <w:tcW w:w="3628" w:type="dxa"/>
          </w:tcPr>
          <w:p>
            <w:pPr>
              <w:spacing w:after="60"/>
            </w:pPr>
            <w:r/>
            <w:r>
              <w:rPr>
                <w:b w:val="0"/>
                <w:sz w:val="20"/>
              </w:rPr>
              <w:t>art. 149.º, Norma revogatória</w:t>
            </w:r>
          </w:p>
        </w:tc>
        <w:tc>
          <w:tcPr>
            <w:tcW w:w="2381" w:type="dxa"/>
          </w:tcPr>
          <w:p>
            <w:pPr>
              <w:spacing w:after="60"/>
            </w:pPr>
            <w:r/>
            <w:r>
              <w:rPr>
                <w:b w:val="0"/>
                <w:sz w:val="20"/>
              </w:rPr>
              <w:t>Titularidade e detenção; 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bl>
    <w:p/>
    <w:p>
      <w:r>
        <w:rPr>
          <w:b w:val="0"/>
          <w:i w:val="0"/>
        </w:rPr>
        <w:t>Total: 41 fichas, das quais 37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Não se usam notícias de imprensa. As citações estão entre aspas e foram transcritas das fontes indicadas.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1361"/>
        <w:gridCol w:w="6406"/>
        <w:gridCol w:w="3969"/>
      </w:tblGrid>
      <w:tr>
        <w:trPr>
          <w:tblHeader w:val="true"/>
        </w:trPr>
        <w:tc>
          <w:tcPr>
            <w:tcW w:w="2835" w:type="dxa"/>
          </w:tcPr>
          <w:p>
            <w:pPr>
              <w:spacing w:after="60"/>
            </w:pPr>
            <w:r/>
            <w:r>
              <w:rPr>
                <w:b/>
                <w:sz w:val="20"/>
              </w:rPr>
              <w:t>Entidade</w:t>
            </w:r>
          </w:p>
        </w:tc>
        <w:tc>
          <w:tcPr>
            <w:tcW w:w="1361" w:type="dxa"/>
          </w:tcPr>
          <w:p>
            <w:pPr>
              <w:spacing w:after="60"/>
            </w:pPr>
            <w:r/>
            <w:r>
              <w:rPr>
                <w:b/>
                <w:sz w:val="20"/>
              </w:rPr>
              <w:t>Tema</w:t>
            </w:r>
          </w:p>
        </w:tc>
        <w:tc>
          <w:tcPr>
            <w:tcW w:w="6406"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1361" w:type="dxa"/>
          </w:tcPr>
          <w:p>
            <w:pPr>
              <w:spacing w:after="60"/>
            </w:pPr>
            <w:r/>
            <w:r>
              <w:rPr>
                <w:b w:val="0"/>
                <w:sz w:val="20"/>
              </w:rPr>
              <w:t>CED e errantes</w:t>
            </w:r>
          </w:p>
        </w:tc>
        <w:tc>
          <w:tcPr>
            <w:tcW w:w="6406"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1361" w:type="dxa"/>
          </w:tcPr>
          <w:p>
            <w:pPr>
              <w:spacing w:after="60"/>
            </w:pPr>
            <w:r/>
            <w:r>
              <w:rPr>
                <w:b w:val="0"/>
                <w:sz w:val="20"/>
              </w:rPr>
              <w:t>CED e errantes</w:t>
            </w:r>
          </w:p>
        </w:tc>
        <w:tc>
          <w:tcPr>
            <w:tcW w:w="6406"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1361" w:type="dxa"/>
          </w:tcPr>
          <w:p>
            <w:pPr>
              <w:spacing w:after="60"/>
            </w:pPr>
            <w:r/>
            <w:r>
              <w:rPr>
                <w:b w:val="0"/>
                <w:sz w:val="20"/>
              </w:rPr>
              <w:t>Titularidade</w:t>
            </w:r>
          </w:p>
        </w:tc>
        <w:tc>
          <w:tcPr>
            <w:tcW w:w="6406"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1361" w:type="dxa"/>
          </w:tcPr>
          <w:p>
            <w:pPr>
              <w:spacing w:after="60"/>
            </w:pPr>
            <w:r/>
            <w:r>
              <w:rPr>
                <w:b w:val="0"/>
                <w:sz w:val="20"/>
              </w:rPr>
              <w:t>Titularidade</w:t>
            </w:r>
          </w:p>
        </w:tc>
        <w:tc>
          <w:tcPr>
            <w:tcW w:w="6406"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1361" w:type="dxa"/>
          </w:tcPr>
          <w:p>
            <w:pPr>
              <w:spacing w:after="60"/>
            </w:pPr>
            <w:r/>
            <w:r>
              <w:rPr>
                <w:b w:val="0"/>
                <w:sz w:val="20"/>
              </w:rPr>
              <w:t>CED e errantes</w:t>
            </w:r>
          </w:p>
        </w:tc>
        <w:tc>
          <w:tcPr>
            <w:tcW w:w="6406"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1361" w:type="dxa"/>
          </w:tcPr>
          <w:p>
            <w:pPr>
              <w:spacing w:after="60"/>
            </w:pPr>
            <w:r/>
            <w:r>
              <w:rPr>
                <w:b w:val="0"/>
                <w:sz w:val="20"/>
              </w:rPr>
              <w:t>CED e errantes</w:t>
            </w:r>
          </w:p>
        </w:tc>
        <w:tc>
          <w:tcPr>
            <w:tcW w:w="6406"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1361" w:type="dxa"/>
          </w:tcPr>
          <w:p>
            <w:pPr>
              <w:spacing w:after="60"/>
            </w:pPr>
            <w:r/>
            <w:r>
              <w:rPr>
                <w:b w:val="0"/>
                <w:sz w:val="20"/>
              </w:rPr>
              <w:t>Titularidade; CED e errantes</w:t>
            </w:r>
          </w:p>
        </w:tc>
        <w:tc>
          <w:tcPr>
            <w:tcW w:w="6406"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1361" w:type="dxa"/>
          </w:tcPr>
          <w:p>
            <w:pPr>
              <w:spacing w:after="60"/>
            </w:pPr>
            <w:r/>
            <w:r>
              <w:rPr>
                <w:b w:val="0"/>
                <w:sz w:val="20"/>
              </w:rPr>
              <w:t>CED e errantes</w:t>
            </w:r>
          </w:p>
        </w:tc>
        <w:tc>
          <w:tcPr>
            <w:tcW w:w="6406"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1361" w:type="dxa"/>
          </w:tcPr>
          <w:p>
            <w:pPr>
              <w:spacing w:after="60"/>
            </w:pPr>
            <w:r/>
            <w:r>
              <w:rPr>
                <w:b w:val="0"/>
                <w:sz w:val="20"/>
              </w:rPr>
              <w:t>CED e errantes</w:t>
            </w:r>
          </w:p>
        </w:tc>
        <w:tc>
          <w:tcPr>
            <w:tcW w:w="6406"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1361" w:type="dxa"/>
          </w:tcPr>
          <w:p>
            <w:pPr>
              <w:spacing w:after="60"/>
            </w:pPr>
            <w:r/>
            <w:r>
              <w:rPr>
                <w:b w:val="0"/>
                <w:sz w:val="20"/>
              </w:rPr>
              <w:t>CED e errantes</w:t>
            </w:r>
          </w:p>
        </w:tc>
        <w:tc>
          <w:tcPr>
            <w:tcW w:w="6406"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1361" w:type="dxa"/>
          </w:tcPr>
          <w:p>
            <w:pPr>
              <w:spacing w:after="60"/>
            </w:pPr>
            <w:r/>
            <w:r>
              <w:rPr>
                <w:b w:val="0"/>
                <w:sz w:val="20"/>
              </w:rPr>
              <w:t>CED e errantes</w:t>
            </w:r>
          </w:p>
        </w:tc>
        <w:tc>
          <w:tcPr>
            <w:tcW w:w="6406"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1361" w:type="dxa"/>
          </w:tcPr>
          <w:p>
            <w:pPr>
              <w:spacing w:after="60"/>
            </w:pPr>
            <w:r/>
            <w:r>
              <w:rPr>
                <w:b w:val="0"/>
                <w:sz w:val="20"/>
              </w:rPr>
              <w:t>CED e errantes</w:t>
            </w:r>
          </w:p>
        </w:tc>
        <w:tc>
          <w:tcPr>
            <w:tcW w:w="6406"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1361" w:type="dxa"/>
          </w:tcPr>
          <w:p>
            <w:pPr>
              <w:spacing w:after="60"/>
            </w:pPr>
            <w:r/>
            <w:r>
              <w:rPr>
                <w:b w:val="0"/>
                <w:sz w:val="20"/>
              </w:rPr>
              <w:t>CED e errantes</w:t>
            </w:r>
          </w:p>
        </w:tc>
        <w:tc>
          <w:tcPr>
            <w:tcW w:w="6406"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1361" w:type="dxa"/>
          </w:tcPr>
          <w:p>
            <w:pPr>
              <w:spacing w:after="60"/>
            </w:pPr>
            <w:r/>
            <w:r>
              <w:rPr>
                <w:b w:val="0"/>
                <w:sz w:val="20"/>
              </w:rPr>
              <w:t>CED e errantes</w:t>
            </w:r>
          </w:p>
        </w:tc>
        <w:tc>
          <w:tcPr>
            <w:tcW w:w="6406"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1361" w:type="dxa"/>
          </w:tcPr>
          <w:p>
            <w:pPr>
              <w:spacing w:after="60"/>
            </w:pPr>
            <w:r/>
            <w:r>
              <w:rPr>
                <w:b w:val="0"/>
                <w:sz w:val="20"/>
              </w:rPr>
              <w:t>CED e errantes</w:t>
            </w:r>
          </w:p>
        </w:tc>
        <w:tc>
          <w:tcPr>
            <w:tcW w:w="6406"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1361" w:type="dxa"/>
          </w:tcPr>
          <w:p>
            <w:pPr>
              <w:spacing w:after="60"/>
            </w:pPr>
            <w:r/>
            <w:r>
              <w:rPr>
                <w:b w:val="0"/>
                <w:sz w:val="20"/>
              </w:rPr>
              <w:t>CED e errantes</w:t>
            </w:r>
          </w:p>
        </w:tc>
        <w:tc>
          <w:tcPr>
            <w:tcW w:w="6406"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1361" w:type="dxa"/>
          </w:tcPr>
          <w:p>
            <w:pPr>
              <w:spacing w:after="60"/>
            </w:pPr>
            <w:r/>
            <w:r>
              <w:rPr>
                <w:b w:val="0"/>
                <w:sz w:val="20"/>
              </w:rPr>
              <w:t>CED e errantes</w:t>
            </w:r>
          </w:p>
        </w:tc>
        <w:tc>
          <w:tcPr>
            <w:tcW w:w="6406"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1361" w:type="dxa"/>
          </w:tcPr>
          <w:p>
            <w:pPr>
              <w:spacing w:after="60"/>
            </w:pPr>
            <w:r/>
            <w:r>
              <w:rPr>
                <w:b w:val="0"/>
                <w:sz w:val="20"/>
              </w:rPr>
              <w:t>CED e errantes</w:t>
            </w:r>
          </w:p>
        </w:tc>
        <w:tc>
          <w:tcPr>
            <w:tcW w:w="6406"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1361" w:type="dxa"/>
          </w:tcPr>
          <w:p>
            <w:pPr>
              <w:spacing w:after="60"/>
            </w:pPr>
            <w:r/>
            <w:r>
              <w:rPr>
                <w:b w:val="0"/>
                <w:sz w:val="20"/>
              </w:rPr>
              <w:t>Titularidade; CED e errantes</w:t>
            </w:r>
          </w:p>
        </w:tc>
        <w:tc>
          <w:tcPr>
            <w:tcW w:w="6406"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1361" w:type="dxa"/>
          </w:tcPr>
          <w:p>
            <w:pPr>
              <w:spacing w:after="60"/>
            </w:pPr>
            <w:r/>
            <w:r>
              <w:rPr>
                <w:b w:val="0"/>
                <w:sz w:val="20"/>
              </w:rPr>
              <w:t>Titularidade</w:t>
            </w:r>
          </w:p>
        </w:tc>
        <w:tc>
          <w:tcPr>
            <w:tcW w:w="6406"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1361" w:type="dxa"/>
          </w:tcPr>
          <w:p>
            <w:pPr>
              <w:spacing w:after="60"/>
            </w:pPr>
            <w:r/>
            <w:r>
              <w:rPr>
                <w:b w:val="0"/>
                <w:sz w:val="20"/>
              </w:rPr>
              <w:t>Titularidade</w:t>
            </w:r>
          </w:p>
        </w:tc>
        <w:tc>
          <w:tcPr>
            <w:tcW w:w="6406"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1361" w:type="dxa"/>
          </w:tcPr>
          <w:p>
            <w:pPr>
              <w:spacing w:after="60"/>
            </w:pPr>
            <w:r/>
            <w:r>
              <w:rPr>
                <w:b w:val="0"/>
                <w:sz w:val="20"/>
              </w:rPr>
              <w:t>Titularidade</w:t>
            </w:r>
          </w:p>
        </w:tc>
        <w:tc>
          <w:tcPr>
            <w:tcW w:w="6406"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1361" w:type="dxa"/>
          </w:tcPr>
          <w:p>
            <w:pPr>
              <w:spacing w:after="60"/>
            </w:pPr>
            <w:r/>
            <w:r>
              <w:rPr>
                <w:b w:val="0"/>
                <w:sz w:val="20"/>
              </w:rPr>
              <w:t>Titularidade</w:t>
            </w:r>
          </w:p>
        </w:tc>
        <w:tc>
          <w:tcPr>
            <w:tcW w:w="6406"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1361" w:type="dxa"/>
          </w:tcPr>
          <w:p>
            <w:pPr>
              <w:spacing w:after="60"/>
            </w:pPr>
            <w:r/>
            <w:r>
              <w:rPr>
                <w:b w:val="0"/>
                <w:sz w:val="20"/>
              </w:rPr>
              <w:t>Titularidade</w:t>
            </w:r>
          </w:p>
        </w:tc>
        <w:tc>
          <w:tcPr>
            <w:tcW w:w="6406"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1361" w:type="dxa"/>
          </w:tcPr>
          <w:p>
            <w:pPr>
              <w:spacing w:after="60"/>
            </w:pPr>
            <w:r/>
            <w:r>
              <w:rPr>
                <w:b w:val="0"/>
                <w:sz w:val="20"/>
              </w:rPr>
              <w:t>Titularidade; CED e errantes</w:t>
            </w:r>
          </w:p>
        </w:tc>
        <w:tc>
          <w:tcPr>
            <w:tcW w:w="6406"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1361" w:type="dxa"/>
          </w:tcPr>
          <w:p>
            <w:pPr>
              <w:spacing w:after="60"/>
            </w:pPr>
            <w:r/>
            <w:r>
              <w:rPr>
                <w:b w:val="0"/>
                <w:sz w:val="20"/>
              </w:rPr>
              <w:t>Titularidade</w:t>
            </w:r>
          </w:p>
        </w:tc>
        <w:tc>
          <w:tcPr>
            <w:tcW w:w="6406"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1361" w:type="dxa"/>
          </w:tcPr>
          <w:p>
            <w:pPr>
              <w:spacing w:after="60"/>
            </w:pPr>
            <w:r/>
            <w:r>
              <w:rPr>
                <w:b w:val="0"/>
                <w:sz w:val="20"/>
              </w:rPr>
              <w:t>Titularidade</w:t>
            </w:r>
          </w:p>
        </w:tc>
        <w:tc>
          <w:tcPr>
            <w:tcW w:w="6406"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1361" w:type="dxa"/>
          </w:tcPr>
          <w:p>
            <w:pPr>
              <w:spacing w:after="60"/>
            </w:pPr>
            <w:r/>
            <w:r>
              <w:rPr>
                <w:b w:val="0"/>
                <w:sz w:val="20"/>
              </w:rPr>
              <w:t>Titularidade</w:t>
            </w:r>
          </w:p>
        </w:tc>
        <w:tc>
          <w:tcPr>
            <w:tcW w:w="6406"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1361" w:type="dxa"/>
          </w:tcPr>
          <w:p>
            <w:pPr>
              <w:spacing w:after="60"/>
            </w:pPr>
            <w:r/>
            <w:r>
              <w:rPr>
                <w:b w:val="0"/>
                <w:sz w:val="20"/>
              </w:rPr>
              <w:t>Titularidade</w:t>
            </w:r>
          </w:p>
        </w:tc>
        <w:tc>
          <w:tcPr>
            <w:tcW w:w="6406"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1361" w:type="dxa"/>
          </w:tcPr>
          <w:p>
            <w:pPr>
              <w:spacing w:after="60"/>
            </w:pPr>
            <w:r/>
            <w:r>
              <w:rPr>
                <w:b w:val="0"/>
                <w:sz w:val="20"/>
              </w:rPr>
              <w:t>CED e errantes</w:t>
            </w:r>
          </w:p>
        </w:tc>
        <w:tc>
          <w:tcPr>
            <w:tcW w:w="6406"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1361" w:type="dxa"/>
          </w:tcPr>
          <w:p>
            <w:pPr>
              <w:spacing w:after="60"/>
            </w:pPr>
            <w:r/>
            <w:r>
              <w:rPr>
                <w:b w:val="0"/>
                <w:sz w:val="20"/>
              </w:rPr>
              <w:t>Titularidade; CED e errantes</w:t>
            </w:r>
          </w:p>
        </w:tc>
        <w:tc>
          <w:tcPr>
            <w:tcW w:w="6406"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1361" w:type="dxa"/>
          </w:tcPr>
          <w:p>
            <w:pPr>
              <w:spacing w:after="60"/>
            </w:pPr>
            <w:r/>
            <w:r>
              <w:rPr>
                <w:b w:val="0"/>
                <w:sz w:val="20"/>
              </w:rPr>
              <w:t>Titularidade; CED e errantes</w:t>
            </w:r>
          </w:p>
        </w:tc>
        <w:tc>
          <w:tcPr>
            <w:tcW w:w="6406"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1361" w:type="dxa"/>
          </w:tcPr>
          <w:p>
            <w:pPr>
              <w:spacing w:after="60"/>
            </w:pPr>
            <w:r/>
            <w:r>
              <w:rPr>
                <w:b w:val="0"/>
                <w:sz w:val="20"/>
              </w:rPr>
              <w:t>Titularidade; CED e errantes</w:t>
            </w:r>
          </w:p>
        </w:tc>
        <w:tc>
          <w:tcPr>
            <w:tcW w:w="6406"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1361" w:type="dxa"/>
          </w:tcPr>
          <w:p>
            <w:pPr>
              <w:spacing w:after="60"/>
            </w:pPr>
            <w:r/>
            <w:r>
              <w:rPr>
                <w:b w:val="0"/>
                <w:sz w:val="20"/>
              </w:rPr>
              <w:t>Titularidade; CED e errantes</w:t>
            </w:r>
          </w:p>
        </w:tc>
        <w:tc>
          <w:tcPr>
            <w:tcW w:w="6406"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1361" w:type="dxa"/>
          </w:tcPr>
          <w:p>
            <w:pPr>
              <w:spacing w:after="60"/>
            </w:pPr>
            <w:r/>
            <w:r>
              <w:rPr>
                <w:b w:val="0"/>
                <w:sz w:val="20"/>
              </w:rPr>
              <w:t>CED e errantes</w:t>
            </w:r>
          </w:p>
        </w:tc>
        <w:tc>
          <w:tcPr>
            <w:tcW w:w="6406"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1361" w:type="dxa"/>
          </w:tcPr>
          <w:p>
            <w:pPr>
              <w:spacing w:after="60"/>
            </w:pPr>
            <w:r/>
            <w:r>
              <w:rPr>
                <w:b w:val="0"/>
                <w:sz w:val="20"/>
              </w:rPr>
              <w:t>CED e errantes</w:t>
            </w:r>
          </w:p>
        </w:tc>
        <w:tc>
          <w:tcPr>
            <w:tcW w:w="6406"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1361" w:type="dxa"/>
          </w:tcPr>
          <w:p>
            <w:pPr>
              <w:spacing w:after="60"/>
            </w:pPr>
            <w:r/>
            <w:r>
              <w:rPr>
                <w:b w:val="0"/>
                <w:sz w:val="20"/>
              </w:rPr>
              <w:t>CED e errantes</w:t>
            </w:r>
          </w:p>
        </w:tc>
        <w:tc>
          <w:tcPr>
            <w:tcW w:w="6406"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1361" w:type="dxa"/>
          </w:tcPr>
          <w:p>
            <w:pPr>
              <w:spacing w:after="60"/>
            </w:pPr>
            <w:r/>
            <w:r>
              <w:rPr>
                <w:b w:val="0"/>
                <w:sz w:val="20"/>
              </w:rPr>
              <w:t>Titularidade</w:t>
            </w:r>
          </w:p>
        </w:tc>
        <w:tc>
          <w:tcPr>
            <w:tcW w:w="6406"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1361" w:type="dxa"/>
          </w:tcPr>
          <w:p>
            <w:pPr>
              <w:spacing w:after="60"/>
            </w:pPr>
            <w:r/>
            <w:r>
              <w:rPr>
                <w:b w:val="0"/>
                <w:sz w:val="20"/>
              </w:rPr>
              <w:t>Titularidade</w:t>
            </w:r>
          </w:p>
        </w:tc>
        <w:tc>
          <w:tcPr>
            <w:tcW w:w="6406"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1361" w:type="dxa"/>
          </w:tcPr>
          <w:p>
            <w:pPr>
              <w:spacing w:after="60"/>
            </w:pPr>
            <w:r/>
            <w:r>
              <w:rPr>
                <w:b w:val="0"/>
                <w:sz w:val="20"/>
              </w:rPr>
              <w:t>Titularidade; CED e errantes</w:t>
            </w:r>
          </w:p>
        </w:tc>
        <w:tc>
          <w:tcPr>
            <w:tcW w:w="6406"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1361" w:type="dxa"/>
          </w:tcPr>
          <w:p>
            <w:pPr>
              <w:spacing w:after="60"/>
            </w:pPr>
            <w:r/>
            <w:r>
              <w:rPr>
                <w:b w:val="0"/>
                <w:sz w:val="20"/>
              </w:rPr>
              <w:t>CED e errantes</w:t>
            </w:r>
          </w:p>
        </w:tc>
        <w:tc>
          <w:tcPr>
            <w:tcW w:w="6406"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1361" w:type="dxa"/>
          </w:tcPr>
          <w:p>
            <w:pPr>
              <w:spacing w:after="60"/>
            </w:pPr>
            <w:r/>
            <w:r>
              <w:rPr>
                <w:b w:val="0"/>
                <w:sz w:val="20"/>
              </w:rPr>
              <w:t>Titularidade; CED e errantes</w:t>
            </w:r>
          </w:p>
        </w:tc>
        <w:tc>
          <w:tcPr>
            <w:tcW w:w="6406"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1361" w:type="dxa"/>
          </w:tcPr>
          <w:p>
            <w:pPr>
              <w:spacing w:after="60"/>
            </w:pPr>
            <w:r/>
            <w:r>
              <w:rPr>
                <w:b w:val="0"/>
                <w:sz w:val="20"/>
              </w:rPr>
              <w:t>CED e errantes</w:t>
            </w:r>
          </w:p>
        </w:tc>
        <w:tc>
          <w:tcPr>
            <w:tcW w:w="6406"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1361" w:type="dxa"/>
          </w:tcPr>
          <w:p>
            <w:pPr>
              <w:spacing w:after="60"/>
            </w:pPr>
            <w:r/>
            <w:r>
              <w:rPr>
                <w:b w:val="0"/>
                <w:sz w:val="20"/>
              </w:rPr>
              <w:t>Titularidade; CED e errantes</w:t>
            </w:r>
          </w:p>
        </w:tc>
        <w:tc>
          <w:tcPr>
            <w:tcW w:w="6406"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1361" w:type="dxa"/>
          </w:tcPr>
          <w:p>
            <w:pPr>
              <w:spacing w:after="60"/>
            </w:pPr>
            <w:r/>
            <w:r>
              <w:rPr>
                <w:b w:val="0"/>
                <w:sz w:val="20"/>
              </w:rPr>
              <w:t>Titularidade; CED e errantes</w:t>
            </w:r>
          </w:p>
        </w:tc>
        <w:tc>
          <w:tcPr>
            <w:tcW w:w="6406"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1361" w:type="dxa"/>
          </w:tcPr>
          <w:p>
            <w:pPr>
              <w:spacing w:after="60"/>
            </w:pPr>
            <w:r/>
            <w:r>
              <w:rPr>
                <w:b w:val="0"/>
                <w:sz w:val="20"/>
              </w:rPr>
              <w:t>Titularidade; CED e errantes</w:t>
            </w:r>
          </w:p>
        </w:tc>
        <w:tc>
          <w:tcPr>
            <w:tcW w:w="6406"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1361" w:type="dxa"/>
          </w:tcPr>
          <w:p>
            <w:pPr>
              <w:spacing w:after="60"/>
            </w:pPr>
            <w:r/>
            <w:r>
              <w:rPr>
                <w:b w:val="0"/>
                <w:sz w:val="20"/>
              </w:rPr>
              <w:t>CED e errantes</w:t>
            </w:r>
          </w:p>
        </w:tc>
        <w:tc>
          <w:tcPr>
            <w:tcW w:w="6406"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1361" w:type="dxa"/>
          </w:tcPr>
          <w:p>
            <w:pPr>
              <w:spacing w:after="60"/>
            </w:pPr>
            <w:r/>
            <w:r>
              <w:rPr>
                <w:b w:val="0"/>
                <w:sz w:val="20"/>
              </w:rPr>
              <w:t>CED e errantes</w:t>
            </w:r>
          </w:p>
        </w:tc>
        <w:tc>
          <w:tcPr>
            <w:tcW w:w="6406"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1361" w:type="dxa"/>
          </w:tcPr>
          <w:p>
            <w:pPr>
              <w:spacing w:after="60"/>
            </w:pPr>
            <w:r/>
            <w:r>
              <w:rPr>
                <w:b w:val="0"/>
                <w:sz w:val="20"/>
              </w:rPr>
              <w:t>CED e errantes</w:t>
            </w:r>
          </w:p>
        </w:tc>
        <w:tc>
          <w:tcPr>
            <w:tcW w:w="6406"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1361" w:type="dxa"/>
          </w:tcPr>
          <w:p>
            <w:pPr>
              <w:spacing w:after="60"/>
            </w:pPr>
            <w:r/>
            <w:r>
              <w:rPr>
                <w:b w:val="0"/>
                <w:sz w:val="20"/>
              </w:rPr>
              <w:t>Titularidade; CED e errantes</w:t>
            </w:r>
          </w:p>
        </w:tc>
        <w:tc>
          <w:tcPr>
            <w:tcW w:w="6406"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928"/>
        <w:gridCol w:w="6009"/>
        <w:gridCol w:w="4309"/>
        <w:gridCol w:w="1417"/>
      </w:tblGrid>
      <w:tr>
        <w:trPr>
          <w:tblHeader w:val="true"/>
        </w:trPr>
        <w:tc>
          <w:tcPr>
            <w:tcW w:w="907" w:type="dxa"/>
          </w:tcPr>
          <w:p>
            <w:pPr>
              <w:spacing w:after="60"/>
            </w:pPr>
            <w:r/>
            <w:r>
              <w:rPr>
                <w:b/>
                <w:sz w:val="20"/>
              </w:rPr>
              <w:t>Código</w:t>
            </w:r>
          </w:p>
        </w:tc>
        <w:tc>
          <w:tcPr>
            <w:tcW w:w="1928" w:type="dxa"/>
          </w:tcPr>
          <w:p>
            <w:pPr>
              <w:spacing w:after="60"/>
            </w:pPr>
            <w:r/>
            <w:r>
              <w:rPr>
                <w:b/>
                <w:sz w:val="20"/>
              </w:rPr>
              <w:t>Onde</w:t>
            </w:r>
          </w:p>
        </w:tc>
        <w:tc>
          <w:tcPr>
            <w:tcW w:w="6009"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928" w:type="dxa"/>
          </w:tcPr>
          <w:p>
            <w:pPr>
              <w:spacing w:after="60"/>
            </w:pPr>
            <w:r/>
            <w:r>
              <w:rPr>
                <w:b w:val="0"/>
                <w:sz w:val="20"/>
              </w:rPr>
              <w:t>art. 81.º (cap. VIII); art. 81.º (cap. IX)</w:t>
            </w:r>
          </w:p>
        </w:tc>
        <w:tc>
          <w:tcPr>
            <w:tcW w:w="6009"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928" w:type="dxa"/>
          </w:tcPr>
          <w:p>
            <w:pPr>
              <w:spacing w:after="60"/>
            </w:pPr>
            <w:r/>
            <w:r>
              <w:rPr>
                <w:b w:val="0"/>
                <w:sz w:val="20"/>
              </w:rPr>
              <w:t>art. 81.º (cap. VIII)</w:t>
            </w:r>
          </w:p>
        </w:tc>
        <w:tc>
          <w:tcPr>
            <w:tcW w:w="6009"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928" w:type="dxa"/>
          </w:tcPr>
          <w:p>
            <w:pPr>
              <w:spacing w:after="60"/>
            </w:pPr>
            <w:r/>
            <w:r>
              <w:rPr>
                <w:b w:val="0"/>
                <w:sz w:val="20"/>
              </w:rPr>
              <w:t>art. 142.º (cap. XV); art. 142.º (anexo II)</w:t>
            </w:r>
          </w:p>
        </w:tc>
        <w:tc>
          <w:tcPr>
            <w:tcW w:w="6009"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928" w:type="dxa"/>
          </w:tcPr>
          <w:p>
            <w:pPr>
              <w:spacing w:after="60"/>
            </w:pPr>
            <w:r/>
            <w:r>
              <w:rPr>
                <w:b w:val="0"/>
                <w:sz w:val="20"/>
              </w:rPr>
              <w:t>art. 32.º (cap. IV); art. 40.º (cap. IV); art. 49.º (cap. IV)</w:t>
            </w:r>
          </w:p>
        </w:tc>
        <w:tc>
          <w:tcPr>
            <w:tcW w:w="6009"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928" w:type="dxa"/>
          </w:tcPr>
          <w:p>
            <w:pPr>
              <w:spacing w:after="60"/>
            </w:pPr>
            <w:r/>
            <w:r>
              <w:rPr>
                <w:b w:val="0"/>
                <w:sz w:val="20"/>
              </w:rPr>
              <w:t>art. 88.º (cap. X); art. 91.º (cap. X); art. 98.º (cap. X); art. 99.º (cap. X)</w:t>
            </w:r>
          </w:p>
        </w:tc>
        <w:tc>
          <w:tcPr>
            <w:tcW w:w="6009"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928" w:type="dxa"/>
          </w:tcPr>
          <w:p>
            <w:pPr>
              <w:spacing w:after="60"/>
            </w:pPr>
            <w:r/>
            <w:r>
              <w:rPr>
                <w:b w:val="0"/>
                <w:sz w:val="20"/>
              </w:rPr>
              <w:t>art. 22.º (cap. IV)</w:t>
            </w:r>
          </w:p>
        </w:tc>
        <w:tc>
          <w:tcPr>
            <w:tcW w:w="6009"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TIT-12.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928" w:type="dxa"/>
          </w:tcPr>
          <w:p>
            <w:pPr>
              <w:spacing w:after="60"/>
            </w:pPr>
            <w:r/>
            <w:r>
              <w:rPr>
                <w:b w:val="0"/>
                <w:sz w:val="20"/>
              </w:rPr>
              <w:t>art. 73.º (cap. VIII)</w:t>
            </w:r>
          </w:p>
        </w:tc>
        <w:tc>
          <w:tcPr>
            <w:tcW w:w="6009"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TIT-05.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928" w:type="dxa"/>
          </w:tcPr>
          <w:p>
            <w:pPr>
              <w:spacing w:after="60"/>
            </w:pPr>
            <w:r/>
            <w:r>
              <w:rPr>
                <w:b w:val="0"/>
                <w:sz w:val="20"/>
              </w:rPr>
              <w:t>art. 86.º (cap. X)</w:t>
            </w:r>
          </w:p>
        </w:tc>
        <w:tc>
          <w:tcPr>
            <w:tcW w:w="6009"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CED-07.</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928" w:type="dxa"/>
          </w:tcPr>
          <w:p>
            <w:pPr>
              <w:spacing w:after="60"/>
            </w:pPr>
            <w:r/>
            <w:r>
              <w:rPr>
                <w:b w:val="0"/>
                <w:sz w:val="20"/>
              </w:rPr>
              <w:t>art. 140.º (cap. XV)</w:t>
            </w:r>
          </w:p>
        </w:tc>
        <w:tc>
          <w:tcPr>
            <w:tcW w:w="6009"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TIT-11.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928" w:type="dxa"/>
          </w:tcPr>
          <w:p>
            <w:pPr>
              <w:spacing w:after="60"/>
            </w:pPr>
            <w:r/>
            <w:r>
              <w:rPr>
                <w:b w:val="0"/>
                <w:sz w:val="20"/>
              </w:rPr>
              <w:t>art. 19.º (cap. II)</w:t>
            </w:r>
          </w:p>
        </w:tc>
        <w:tc>
          <w:tcPr>
            <w:tcW w:w="6009"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BEM-01.</w:t>
            </w:r>
          </w:p>
        </w:tc>
        <w:tc>
          <w:tcPr>
            <w:tcW w:w="1417" w:type="dxa"/>
          </w:tcPr>
          <w:p>
            <w:pPr>
              <w:spacing w:after="60"/>
            </w:pPr>
            <w:r/>
            <w:r>
              <w:rPr>
                <w:b w:val="0"/>
                <w:sz w:val="20"/>
              </w:rPr>
              <w:t>Aberto</w:t>
            </w:r>
          </w:p>
        </w:tc>
      </w:tr>
    </w:tbl>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11</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c>
          <w:tcPr>
            <w:tcW w:w="1701" w:type="dxa"/>
          </w:tcPr>
          <w:p>
            <w:pPr>
              <w:spacing w:after="60"/>
            </w:pPr>
            <w:r/>
            <w:r>
              <w:rPr>
                <w:b w:val="0"/>
                <w:sz w:val="20"/>
              </w:rPr>
              <w:t>29</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6</w:t>
            </w:r>
          </w:p>
        </w:tc>
        <w:tc>
          <w:tcPr>
            <w:tcW w:w="1701" w:type="dxa"/>
          </w:tcPr>
          <w:p>
            <w:pPr>
              <w:spacing w:after="60"/>
            </w:pPr>
            <w:r/>
            <w:r>
              <w:rPr>
                <w:b w:val="0"/>
                <w:sz w:val="20"/>
              </w:rPr>
              <w:t>13</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11</w:t>
            </w:r>
          </w:p>
        </w:tc>
        <w:tc>
          <w:tcPr>
            <w:tcW w:w="1701" w:type="dxa"/>
          </w:tcPr>
          <w:p>
            <w:pPr>
              <w:spacing w:after="60"/>
            </w:pPr>
            <w:r/>
            <w:r>
              <w:rPr>
                <w:b w:val="0"/>
                <w:sz w:val="20"/>
              </w:rPr>
              <w:t>7</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27</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6</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152</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35</w:t>
            </w:r>
          </w:p>
        </w:tc>
        <w:tc>
          <w:tcPr>
            <w:tcW w:w="1701" w:type="dxa"/>
          </w:tcPr>
          <w:p>
            <w:pPr>
              <w:spacing w:after="60"/>
            </w:pPr>
            <w:r/>
            <w:r>
              <w:rPr>
                <w:b/>
                <w:sz w:val="20"/>
              </w:rPr>
              <w:t>117</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REG-01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TIT-01, TIT-03, TIT-06, TIT-09, TIT-14, TIT-18, TIT-19, CED-02, CED-12, TIT-20, CED-18, REG-01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REG-01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TIT-03, CED-09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Parcial</w:t>
            </w:r>
          </w:p>
        </w:tc>
        <w:tc>
          <w:tcPr>
            <w:tcW w:w="2268" w:type="dxa"/>
          </w:tcPr>
          <w:p>
            <w:pPr>
              <w:spacing w:after="60"/>
            </w:pPr>
            <w:r/>
            <w:r>
              <w:rPr>
                <w:b w:val="0"/>
                <w:sz w:val="20"/>
              </w:rPr>
              <w:t>TIT-13, TIT-16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BEM-01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BEM-01,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TIT-12,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1 - O operador assegura que cada estabelecimento sob a sua responsabilidade é objeto de visita de um médico-veterinário destinada a identificar e avaliar os fatores de risco para o bem-estar animal e a aconselhar o operador sobre as medidas adequadas para lhes dar resposta.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TIT-14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CED-12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TIT-09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TIT-01, TIT-02, TIT-03, TIT-08, TIT-19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TIT-10, TIT-17, CED-07, CED-08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TIT-04, TIT-05, TIT-09, TIT-17,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TIT-04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81.º</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CED-03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CED-17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TIT-19, CED-01, CED-02, CED-04, CED-05, CED-06, CED-07, CED-08, CED-09, CED-11, CED-13, CED-14, CED-15, CED-16,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CED-10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TIT-10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TIT-15, CED-04, CED-12, TIT-20, CED-18, CED-19,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w:t>
            </w:r>
          </w:p>
        </w:tc>
        <w:tc>
          <w:tcPr>
            <w:tcW w:w="1814" w:type="dxa"/>
          </w:tcPr>
          <w:p>
            <w:pPr>
              <w:spacing w:after="60"/>
            </w:pPr>
            <w:r/>
            <w:r>
              <w:rPr>
                <w:b w:val="0"/>
                <w:sz w:val="20"/>
              </w:rPr>
              <w:t>Parcial</w:t>
            </w:r>
          </w:p>
        </w:tc>
        <w:tc>
          <w:tcPr>
            <w:tcW w:w="2268" w:type="dxa"/>
          </w:tcPr>
          <w:p>
            <w:pPr>
              <w:spacing w:after="60"/>
            </w:pPr>
            <w:r/>
            <w:r>
              <w:rPr>
                <w:b w:val="0"/>
                <w:sz w:val="20"/>
              </w:rPr>
              <w:t>TIT-20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TIT-10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TIT-10,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TIT-10,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TIT-06, TIT-11, TIT-15, CED-03, CED-04, BEM-01, L-09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TIT-07, CED-01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142.º</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E. Fichas por tema</w:t>
      </w:r>
    </w:p>
    <w:p>
      <w:r>
        <w:rPr>
          <w:b w:val="0"/>
          <w:i w:val="0"/>
        </w:rPr>
        <w:t>Cada ficha aparece em todos os temas a que pertence. Entre parênteses, o artigo principal.</w:t>
      </w:r>
    </w:p>
    <w:p>
      <w:pPr>
        <w:pStyle w:val="Heading2"/>
      </w:pPr>
      <w:r>
        <w:rPr>
          <w:i w:val="0"/>
          <w:color w:val="000000"/>
        </w:rPr>
        <w:t>TIT. Titularidade e detenção (20)</w:t>
      </w:r>
    </w:p>
    <w:p>
      <w:pPr>
        <w:spacing w:after="20"/>
        <w:ind w:left="454"/>
      </w:pPr>
      <w:r>
        <w:rPr>
          <w:b w:val="0"/>
          <w:i w:val="0"/>
        </w:rPr>
        <w:t>TIT-01. A definição de titular depende só do registo (art. 3.º, cap. I)</w:t>
      </w:r>
    </w:p>
    <w:p>
      <w:pPr>
        <w:spacing w:after="20"/>
        <w:ind w:left="454"/>
      </w:pPr>
      <w:r>
        <w:rPr>
          <w:b w:val="0"/>
          <w:i w:val="0"/>
        </w:rPr>
        <w:t>TIT-03. Sem regra sobre o valor do registo SIAC face à propriedade (art. 3.º, cap. I)</w:t>
      </w:r>
    </w:p>
    <w:p>
      <w:pPr>
        <w:spacing w:after="20"/>
        <w:ind w:left="454"/>
      </w:pPr>
      <w:r>
        <w:rPr>
          <w:b w:val="0"/>
          <w:i w:val="0"/>
        </w:rPr>
        <w:t>TIT-09. «Titular ou operador» quando o operador já é titular (art. 3.º, cap. I)</w:t>
      </w:r>
    </w:p>
    <w:p>
      <w:pPr>
        <w:spacing w:after="20"/>
        <w:ind w:left="454"/>
      </w:pPr>
      <w:r>
        <w:rPr>
          <w:b w:val="0"/>
          <w:i w:val="0"/>
        </w:rPr>
        <w:t>TIT-14. Família de acolhimento sem operador fica sem enquadramento (art. 3.º, cap. I)</w:t>
      </w:r>
    </w:p>
    <w:p>
      <w:pPr>
        <w:spacing w:after="20"/>
        <w:ind w:left="454"/>
      </w:pPr>
      <w:r>
        <w:rPr>
          <w:b w:val="0"/>
          <w:i w:val="0"/>
        </w:rPr>
        <w:t>TIT-18. Animais deixados em centros veterinários (art. 3.º, cap. I)</w:t>
      </w:r>
    </w:p>
    <w:p>
      <w:pPr>
        <w:spacing w:after="20"/>
        <w:ind w:left="454"/>
      </w:pPr>
      <w:r>
        <w:rPr>
          <w:b w:val="0"/>
          <w:i w:val="0"/>
        </w:rPr>
        <w:t>TIT-19. Nada diz quem é titular quando o animal não tem proprietário (art. 3.º, cap. I)</w:t>
      </w:r>
    </w:p>
    <w:p>
      <w:pPr>
        <w:spacing w:after="20"/>
        <w:ind w:left="454"/>
      </w:pPr>
      <w:r>
        <w:rPr>
          <w:b w:val="0"/>
          <w:i w:val="0"/>
        </w:rPr>
        <w:t>TIT-13. Quem responde pelos danos causados pelo animal (art. 6.º, cap. II)</w:t>
      </w:r>
    </w:p>
    <w:p>
      <w:pPr>
        <w:spacing w:after="20"/>
        <w:ind w:left="454"/>
      </w:pPr>
      <w:r>
        <w:rPr>
          <w:b w:val="0"/>
          <w:i w:val="0"/>
        </w:rPr>
        <w:t>TIT-16. Detentores de facto que dizem tratar de animais errantes (art. 6.º, cap. II)</w:t>
      </w:r>
    </w:p>
    <w:p>
      <w:pPr>
        <w:spacing w:after="20"/>
        <w:ind w:left="454"/>
      </w:pPr>
      <w:r>
        <w:rPr>
          <w:b w:val="0"/>
          <w:i w:val="0"/>
        </w:rPr>
        <w:t>TIT-12. Redação por decidir no art. 22.º (art. 22.º, cap. IV)</w:t>
      </w:r>
    </w:p>
    <w:p>
      <w:pPr>
        <w:spacing w:after="20"/>
        <w:ind w:left="454"/>
      </w:pPr>
      <w:r>
        <w:rPr>
          <w:b w:val="0"/>
          <w:i w:val="0"/>
        </w:rPr>
        <w:t>TIT-02. Registo em nome de quem detém o animal e não de quem é dono (art. 69.º, cap. VIII)</w:t>
      </w:r>
    </w:p>
    <w:p>
      <w:pPr>
        <w:spacing w:after="20"/>
        <w:ind w:left="454"/>
      </w:pPr>
      <w:r>
        <w:rPr>
          <w:b w:val="0"/>
          <w:i w:val="0"/>
        </w:rPr>
        <w:t>TIT-08. Animais perigosos: o operador pode ser uma sociedade, o titular não (art. 69.º, cap. VIII)</w:t>
      </w:r>
    </w:p>
    <w:p>
      <w:pPr>
        <w:spacing w:after="20"/>
        <w:ind w:left="454"/>
      </w:pPr>
      <w:r>
        <w:rPr>
          <w:b w:val="0"/>
          <w:i w:val="0"/>
        </w:rPr>
        <w:t>TIT-10. Terminologia do CRO ainda não uniforme (art. 70.º, cap. VIII)</w:t>
      </w:r>
    </w:p>
    <w:p>
      <w:pPr>
        <w:spacing w:after="20"/>
        <w:ind w:left="454"/>
      </w:pPr>
      <w:r>
        <w:rPr>
          <w:b w:val="0"/>
          <w:i w:val="0"/>
        </w:rPr>
        <w:t>TIT-05. A presunção de abandono remete para normas erradas e não diz a quem se aplica (art. 73.º, cap. VIII)</w:t>
      </w:r>
    </w:p>
    <w:p>
      <w:pPr>
        <w:spacing w:after="20"/>
        <w:ind w:left="454"/>
      </w:pPr>
      <w:r>
        <w:rPr>
          <w:b w:val="0"/>
          <w:i w:val="0"/>
        </w:rPr>
        <w:t>TIT-17. Prazos de comunicação ao SIAC mais pesados do que o Regulamento europeu (art. 73.º, cap. VIII)</w:t>
      </w:r>
    </w:p>
    <w:p>
      <w:pPr>
        <w:spacing w:after="20"/>
        <w:ind w:left="454"/>
      </w:pPr>
      <w:r>
        <w:rPr>
          <w:b w:val="0"/>
          <w:i w:val="0"/>
        </w:rPr>
        <w:t>TIT-04. O detentor deixa de ter de comunicar a morte do animal (art. 76.º, cap. VIII)</w:t>
      </w:r>
    </w:p>
    <w:p>
      <w:pPr>
        <w:spacing w:after="20"/>
        <w:ind w:left="454"/>
      </w:pPr>
      <w:r>
        <w:rPr>
          <w:b w:val="0"/>
          <w:i w:val="0"/>
        </w:rPr>
        <w:t>TIT-15. Quem encontra um animal passa a poder ser punido (art. 91.º, cap. X)</w:t>
      </w:r>
    </w:p>
    <w:p>
      <w:pPr>
        <w:spacing w:after="20"/>
        <w:ind w:left="454"/>
      </w:pPr>
      <w:r>
        <w:rPr>
          <w:b w:val="0"/>
          <w:i w:val="0"/>
        </w:rPr>
        <w:t>TIT-20. Quem acolhe um animal errante pode ficar sem saída lícita (art. 94.º, cap. X)</w:t>
      </w:r>
    </w:p>
    <w:p>
      <w:pPr>
        <w:spacing w:after="20"/>
        <w:ind w:left="454"/>
      </w:pPr>
      <w:r>
        <w:rPr>
          <w:b w:val="0"/>
          <w:i w:val="0"/>
        </w:rPr>
        <w:t>TIT-06. O abandono não aparece como contraordenação (art. 140.º, cap. XV)</w:t>
      </w:r>
    </w:p>
    <w:p>
      <w:pPr>
        <w:spacing w:after="20"/>
        <w:ind w:left="454"/>
      </w:pPr>
      <w:r>
        <w:rPr>
          <w:b w:val="0"/>
          <w:i w:val="0"/>
        </w:rPr>
        <w:t>TIT-11. Contraordenação dirigida só aos detentores (art. 140.º, cap. XV)</w:t>
      </w:r>
    </w:p>
    <w:p>
      <w:pPr>
        <w:spacing w:after="20"/>
        <w:ind w:left="454"/>
      </w:pPr>
      <w:r>
        <w:rPr>
          <w:b w:val="0"/>
          <w:i w:val="0"/>
        </w:rPr>
        <w:t>TIT-07. As portarias mantidas usam detentor no sentido antigo (art. 149.º, cap. XVI)</w:t>
      </w:r>
    </w:p>
    <w:p>
      <w:pPr>
        <w:pStyle w:val="Heading2"/>
      </w:pPr>
      <w:r>
        <w:rPr>
          <w:i w:val="0"/>
          <w:color w:val="000000"/>
        </w:rPr>
        <w:t>CED. CED, colónias e animais errantes (20)</w:t>
      </w:r>
    </w:p>
    <w:p>
      <w:pPr>
        <w:spacing w:after="20"/>
        <w:ind w:left="454"/>
      </w:pPr>
      <w:r>
        <w:rPr>
          <w:b w:val="0"/>
          <w:i w:val="0"/>
        </w:rPr>
        <w:t>CED-18. A definição de animal errante passa a abranger qualquer animal não identificado (art. 3.º, cap. I)</w:t>
      </w:r>
    </w:p>
    <w:p>
      <w:pPr>
        <w:spacing w:after="20"/>
        <w:ind w:left="454"/>
      </w:pPr>
      <w:r>
        <w:rPr>
          <w:b w:val="0"/>
          <w:i w:val="0"/>
        </w:rPr>
        <w:t>CED-12. Gatos de colónia em infração permanente (art. 60.º, cap. VI)</w:t>
      </w:r>
    </w:p>
    <w:p>
      <w:pPr>
        <w:spacing w:after="20"/>
        <w:ind w:left="454"/>
      </w:pPr>
      <w:r>
        <w:rPr>
          <w:b w:val="0"/>
          <w:i w:val="0"/>
        </w:rPr>
        <w:t>CED-03. Proibição nacional de alimentar animais na via pública (art. 84.º, cap. X)</w:t>
      </w:r>
    </w:p>
    <w:p>
      <w:pPr>
        <w:spacing w:after="20"/>
        <w:ind w:left="454"/>
      </w:pPr>
      <w:r>
        <w:rPr>
          <w:b w:val="0"/>
          <w:i w:val="0"/>
        </w:rPr>
        <w:t>CED-17. Plano municipal de controlo de errantes sem conteúdo mínimo nem consequências (art. 85.º, cap. X)</w:t>
      </w:r>
    </w:p>
    <w:p>
      <w:pPr>
        <w:spacing w:after="20"/>
        <w:ind w:left="454"/>
      </w:pPr>
      <w:r>
        <w:rPr>
          <w:b w:val="0"/>
          <w:i w:val="0"/>
        </w:rPr>
        <w:t>CED-01. O CED passa a ser só uma faculdade das câmaras (art. 86.º, cap. X)</w:t>
      </w:r>
    </w:p>
    <w:p>
      <w:pPr>
        <w:spacing w:after="20"/>
        <w:ind w:left="454"/>
      </w:pPr>
      <w:r>
        <w:rPr>
          <w:b w:val="0"/>
          <w:i w:val="0"/>
        </w:rPr>
        <w:t>CED-02. O cuidador de colónia não existe no texto (art. 86.º, cap. X)</w:t>
      </w:r>
    </w:p>
    <w:p>
      <w:pPr>
        <w:spacing w:after="20"/>
        <w:ind w:left="454"/>
      </w:pPr>
      <w:r>
        <w:rPr>
          <w:b w:val="0"/>
          <w:i w:val="0"/>
        </w:rPr>
        <w:t>CED-05. Passagem obrigatória pelo CRO antes de o gato entrar na colónia (art. 86.º, cap. X)</w:t>
      </w:r>
    </w:p>
    <w:p>
      <w:pPr>
        <w:spacing w:after="20"/>
        <w:ind w:left="454"/>
      </w:pPr>
      <w:r>
        <w:rPr>
          <w:b w:val="0"/>
          <w:i w:val="0"/>
        </w:rPr>
        <w:t>CED-06. Exclusão dos cães do CED (art. 86.º, cap. X)</w:t>
      </w:r>
    </w:p>
    <w:p>
      <w:pPr>
        <w:spacing w:after="20"/>
        <w:ind w:left="454"/>
      </w:pPr>
      <w:r>
        <w:rPr>
          <w:b w:val="0"/>
          <w:i w:val="0"/>
        </w:rPr>
        <w:t>CED-07. Remissões e numeração erradas no artigo do CED (art. 86.º, cap. X)</w:t>
      </w:r>
    </w:p>
    <w:p>
      <w:pPr>
        <w:spacing w:after="20"/>
        <w:ind w:left="454"/>
      </w:pPr>
      <w:r>
        <w:rPr>
          <w:b w:val="0"/>
          <w:i w:val="0"/>
        </w:rPr>
        <w:t>CED-08. Entidade promotora, entidade responsável e titular: quem responde pela colónia (art. 86.º, cap. X)</w:t>
      </w:r>
    </w:p>
    <w:p>
      <w:pPr>
        <w:spacing w:after="20"/>
        <w:ind w:left="454"/>
      </w:pPr>
      <w:r>
        <w:rPr>
          <w:b w:val="0"/>
          <w:i w:val="0"/>
        </w:rPr>
        <w:t>CED-09. Registo da colónia no SIAC sem conteúdo definido (art. 86.º, cap. X)</w:t>
      </w:r>
    </w:p>
    <w:p>
      <w:pPr>
        <w:spacing w:after="20"/>
        <w:ind w:left="454"/>
      </w:pPr>
      <w:r>
        <w:rPr>
          <w:b w:val="0"/>
          <w:i w:val="0"/>
        </w:rPr>
        <w:t>CED-11. CED e conservação da natureza (art. 86.º, cap. X)</w:t>
      </w:r>
    </w:p>
    <w:p>
      <w:pPr>
        <w:spacing w:after="20"/>
        <w:ind w:left="454"/>
      </w:pPr>
      <w:r>
        <w:rPr>
          <w:b w:val="0"/>
          <w:i w:val="0"/>
        </w:rPr>
        <w:t>CED-13. Crias e gatos sociáveis: retirar ou devolver (art. 86.º, cap. X)</w:t>
      </w:r>
    </w:p>
    <w:p>
      <w:pPr>
        <w:spacing w:after="20"/>
        <w:ind w:left="454"/>
      </w:pPr>
      <w:r>
        <w:rPr>
          <w:b w:val="0"/>
          <w:i w:val="0"/>
        </w:rPr>
        <w:t>CED-14. Suspensão do programa e recolha dos gatos sem garantias (art. 86.º, cap. X)</w:t>
      </w:r>
    </w:p>
    <w:p>
      <w:pPr>
        <w:spacing w:after="20"/>
        <w:ind w:left="454"/>
      </w:pPr>
      <w:r>
        <w:rPr>
          <w:b w:val="0"/>
          <w:i w:val="0"/>
        </w:rPr>
        <w:t>CED-15. Meios: médicos veterinários municipais e financiamento (art. 86.º, cap. X)</w:t>
      </w:r>
    </w:p>
    <w:p>
      <w:pPr>
        <w:spacing w:after="20"/>
        <w:ind w:left="454"/>
      </w:pPr>
      <w:r>
        <w:rPr>
          <w:b w:val="0"/>
          <w:i w:val="0"/>
        </w:rPr>
        <w:t>CED-16. Conflito com vizinhos e dimensão da colónia (art. 86.º, cap. X)</w:t>
      </w:r>
    </w:p>
    <w:p>
      <w:pPr>
        <w:spacing w:after="20"/>
        <w:ind w:left="454"/>
      </w:pPr>
      <w:r>
        <w:rPr>
          <w:b w:val="0"/>
          <w:i w:val="0"/>
        </w:rPr>
        <w:t>CED-10. Colónias em prédios privados (art. 87.º, cap. X)</w:t>
      </w:r>
    </w:p>
    <w:p>
      <w:pPr>
        <w:spacing w:after="20"/>
        <w:ind w:left="454"/>
      </w:pPr>
      <w:r>
        <w:rPr>
          <w:b w:val="0"/>
          <w:i w:val="0"/>
        </w:rPr>
        <w:t>CED-04. Só as câmaras podem capturar, mas o CED pode ser gerido por outras entidades (art. 91.º, cap. X)</w:t>
      </w:r>
    </w:p>
    <w:p>
      <w:pPr>
        <w:spacing w:after="20"/>
        <w:ind w:left="454"/>
      </w:pPr>
      <w:r>
        <w:rPr>
          <w:b w:val="0"/>
          <w:i w:val="0"/>
        </w:rPr>
        <w:t>CED-19. A Lei 75/2013 ainda atribui às câmaras o abate de canídeos e gatídeos (art. 91.º, cap. X)</w:t>
      </w:r>
    </w:p>
    <w:p>
      <w:pPr>
        <w:spacing w:after="20"/>
        <w:ind w:left="454"/>
      </w:pPr>
      <w:r>
        <w:rPr>
          <w:b w:val="0"/>
          <w:i w:val="0"/>
        </w:rPr>
        <w:t>TIT-20. Quem acolhe um animal errante pode ficar sem saída lícita (art. 94.º, cap. X)</w:t>
      </w:r>
    </w:p>
    <w:p>
      <w:pPr>
        <w:pStyle w:val="Heading2"/>
      </w:pPr>
      <w:r>
        <w:rPr>
          <w:i w:val="0"/>
          <w:color w:val="000000"/>
        </w:rPr>
        <w:t>REG. Identificação e registo (7)</w:t>
      </w:r>
    </w:p>
    <w:p>
      <w:pPr>
        <w:spacing w:after="20"/>
        <w:ind w:left="454"/>
      </w:pPr>
      <w:r>
        <w:rPr>
          <w:b w:val="0"/>
          <w:i w:val="0"/>
        </w:rPr>
        <w:t>REG-01. Duas normas diferentes sobre que espécies são animais de companhia (art. 2.º, cap. I)</w:t>
      </w:r>
    </w:p>
    <w:p>
      <w:pPr>
        <w:spacing w:after="20"/>
        <w:ind w:left="454"/>
      </w:pPr>
      <w:r>
        <w:rPr>
          <w:b w:val="0"/>
          <w:i w:val="0"/>
        </w:rPr>
        <w:t>TIT-02. Registo em nome de quem detém o animal e não de quem é dono (art. 69.º, cap. VIII)</w:t>
      </w:r>
    </w:p>
    <w:p>
      <w:pPr>
        <w:spacing w:after="20"/>
        <w:ind w:left="454"/>
      </w:pPr>
      <w:r>
        <w:rPr>
          <w:b w:val="0"/>
          <w:i w:val="0"/>
        </w:rPr>
        <w:t>TIT-08. Animais perigosos: o operador pode ser uma sociedade, o titular não (art. 69.º, cap. VIII)</w:t>
      </w:r>
    </w:p>
    <w:p>
      <w:pPr>
        <w:spacing w:after="20"/>
        <w:ind w:left="454"/>
      </w:pPr>
      <w:r>
        <w:rPr>
          <w:b w:val="0"/>
          <w:i w:val="0"/>
        </w:rPr>
        <w:t>TIT-10. Terminologia do CRO ainda não uniforme (art. 70.º, cap. VIII)</w:t>
      </w:r>
    </w:p>
    <w:p>
      <w:pPr>
        <w:spacing w:after="20"/>
        <w:ind w:left="454"/>
      </w:pPr>
      <w:r>
        <w:rPr>
          <w:b w:val="0"/>
          <w:i w:val="0"/>
        </w:rPr>
        <w:t>TIT-05. A presunção de abandono remete para normas erradas e não diz a quem se aplica (art. 73.º, cap. VIII)</w:t>
      </w:r>
    </w:p>
    <w:p>
      <w:pPr>
        <w:spacing w:after="20"/>
        <w:ind w:left="454"/>
      </w:pPr>
      <w:r>
        <w:rPr>
          <w:b w:val="0"/>
          <w:i w:val="0"/>
        </w:rPr>
        <w:t>TIT-17. Prazos de comunicação ao SIAC mais pesados do que o Regulamento europeu (art. 73.º, cap. VIII)</w:t>
      </w:r>
    </w:p>
    <w:p>
      <w:pPr>
        <w:spacing w:after="20"/>
        <w:ind w:left="454"/>
      </w:pPr>
      <w:r>
        <w:rPr>
          <w:b w:val="0"/>
          <w:i w:val="0"/>
        </w:rPr>
        <w:t>TIT-04. O detentor deixa de ter de comunicar a morte do animal (art. 76.º, cap. VIII)</w:t>
      </w:r>
    </w:p>
    <w:p>
      <w:pPr>
        <w:pStyle w:val="Heading2"/>
      </w:pPr>
      <w:r>
        <w:rPr>
          <w:i w:val="0"/>
          <w:color w:val="000000"/>
        </w:rPr>
        <w:t>EST. Estabelecimentos e operadores (1)</w:t>
      </w:r>
    </w:p>
    <w:p>
      <w:pPr>
        <w:spacing w:after="20"/>
        <w:ind w:left="454"/>
      </w:pPr>
      <w:r>
        <w:rPr>
          <w:b w:val="0"/>
          <w:i w:val="0"/>
        </w:rPr>
        <w:t>TIT-12. Redação por decidir no art. 22.º (art. 22.º, cap. IV)</w:t>
      </w:r>
    </w:p>
    <w:p>
      <w:pPr>
        <w:pStyle w:val="Heading2"/>
      </w:pPr>
      <w:r>
        <w:rPr>
          <w:i w:val="0"/>
          <w:color w:val="000000"/>
        </w:rPr>
        <w:t>SAN. Fiscalização e contraordenações (2)</w:t>
      </w:r>
    </w:p>
    <w:p>
      <w:pPr>
        <w:spacing w:after="20"/>
        <w:ind w:left="454"/>
      </w:pPr>
      <w:r>
        <w:rPr>
          <w:b w:val="0"/>
          <w:i w:val="0"/>
        </w:rPr>
        <w:t>TIT-06. O abandono não aparece como contraordenação (art. 140.º, cap. XV)</w:t>
      </w:r>
    </w:p>
    <w:p>
      <w:pPr>
        <w:spacing w:after="20"/>
        <w:ind w:left="454"/>
      </w:pPr>
      <w:r>
        <w:rPr>
          <w:b w:val="0"/>
          <w:i w:val="0"/>
        </w:rPr>
        <w:t>TIT-11. Contraordenação dirigida só aos detentores (art. 140.º, cap. XV)</w:t>
      </w:r>
    </w:p>
    <w:p>
      <w:pPr>
        <w:pStyle w:val="Heading2"/>
      </w:pPr>
      <w:r>
        <w:rPr>
          <w:i w:val="0"/>
          <w:color w:val="000000"/>
        </w:rPr>
        <w:t>FIN. Disposições finais e revogações (1)</w:t>
      </w:r>
    </w:p>
    <w:p>
      <w:pPr>
        <w:spacing w:after="20"/>
        <w:ind w:left="454"/>
      </w:pPr>
      <w:r>
        <w:rPr>
          <w:b w:val="0"/>
          <w:i w:val="0"/>
        </w:rPr>
        <w:t>TIT-07. As portarias mantidas usam detentor no sentido antigo (art. 149.º, cap. XVI)</w:t>
      </w:r>
    </w:p>
    <w:p>
      <w:pPr>
        <w:pStyle w:val="Heading2"/>
      </w:pPr>
      <w:r>
        <w:rPr>
          <w:i w:val="0"/>
          <w:color w:val="000000"/>
        </w:rPr>
        <w:t>BEM. Bem-estar e deveres de detenção (1)</w:t>
      </w:r>
    </w:p>
    <w:p>
      <w:pPr>
        <w:spacing w:after="20"/>
        <w:ind w:left="454"/>
      </w:pPr>
      <w:r>
        <w:rPr>
          <w:b w:val="0"/>
          <w:i w:val="0"/>
        </w:rPr>
        <w:t>BEM-01. A amarração no domicílio fica sem duração máxima nem requisitos verificáveis (art. 19.º, cap. II)</w:t>
      </w:r>
    </w:p>
    <w:p>
      <w:r>
        <w:br w:type="page"/>
      </w:r>
    </w:p>
    <w:p>
      <w:pPr>
        <w:pStyle w:val="Heading1"/>
      </w:pPr>
      <w:r>
        <w:rPr>
          <w:i w:val="0"/>
          <w:color w:val="000000"/>
        </w:rPr>
        <w:t>Anexo F. Correspondência com os códigos anteriores</w:t>
      </w:r>
    </w:p>
    <w:p>
      <w:r>
        <w:rPr>
          <w:b w:val="0"/>
          <w:i w:val="0"/>
        </w:rPr>
        <w:t>As versões 1 a 1.7 do memorando usavam T para titularidade e C para CED. O ensaio 2.0 usava números P sem significado. A partir desta versão, o código é a sigla do tema principal e um número dentro do tema.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247"/>
        <w:gridCol w:w="1474"/>
        <w:gridCol w:w="5102"/>
      </w:tblGrid>
      <w:tr>
        <w:trPr>
          <w:tblHeader w:val="true"/>
        </w:trPr>
        <w:tc>
          <w:tcPr>
            <w:tcW w:w="1247" w:type="dxa"/>
          </w:tcPr>
          <w:p>
            <w:pPr>
              <w:spacing w:after="60"/>
            </w:pPr>
            <w:r/>
            <w:r>
              <w:rPr>
                <w:b/>
                <w:sz w:val="20"/>
              </w:rPr>
              <w:t>Versão 1.x</w:t>
            </w:r>
          </w:p>
        </w:tc>
        <w:tc>
          <w:tcPr>
            <w:tcW w:w="1247" w:type="dxa"/>
          </w:tcPr>
          <w:p>
            <w:pPr>
              <w:spacing w:after="60"/>
            </w:pPr>
            <w:r/>
            <w:r>
              <w:rPr>
                <w:b/>
                <w:sz w:val="20"/>
              </w:rPr>
              <w:t>Ensaio 2.0</w:t>
            </w:r>
          </w:p>
        </w:tc>
        <w:tc>
          <w:tcPr>
            <w:tcW w:w="1474" w:type="dxa"/>
          </w:tcPr>
          <w:p>
            <w:pPr>
              <w:spacing w:after="60"/>
            </w:pPr>
            <w:r/>
            <w:r>
              <w:rPr>
                <w:b/>
                <w:sz w:val="20"/>
              </w:rPr>
              <w:t>Código atual</w:t>
            </w:r>
          </w:p>
        </w:tc>
        <w:tc>
          <w:tcPr>
            <w:tcW w:w="5102" w:type="dxa"/>
          </w:tcPr>
          <w:p>
            <w:pPr>
              <w:spacing w:after="60"/>
            </w:pPr>
            <w:r/>
            <w:r>
              <w:rPr>
                <w:b/>
                <w:sz w:val="20"/>
              </w:rPr>
              <w:t>Assunto</w:t>
            </w:r>
          </w:p>
        </w:tc>
      </w:tr>
      <w:tr>
        <w:tc>
          <w:tcPr>
            <w:tcW w:w="1247" w:type="dxa"/>
          </w:tcPr>
          <w:p>
            <w:pPr>
              <w:spacing w:after="60"/>
            </w:pPr>
            <w:r/>
            <w:r>
              <w:rPr>
                <w:b w:val="0"/>
                <w:sz w:val="20"/>
              </w:rPr>
              <w:t>T-01</w:t>
            </w:r>
          </w:p>
        </w:tc>
        <w:tc>
          <w:tcPr>
            <w:tcW w:w="1247" w:type="dxa"/>
          </w:tcPr>
          <w:p>
            <w:pPr>
              <w:spacing w:after="60"/>
            </w:pPr>
            <w:r/>
            <w:r>
              <w:rPr>
                <w:b w:val="0"/>
                <w:sz w:val="20"/>
              </w:rPr>
              <w:t>P-01</w:t>
            </w:r>
          </w:p>
        </w:tc>
        <w:tc>
          <w:tcPr>
            <w:tcW w:w="1474" w:type="dxa"/>
          </w:tcPr>
          <w:p>
            <w:pPr>
              <w:spacing w:after="60"/>
            </w:pPr>
            <w:r/>
            <w:r>
              <w:rPr>
                <w:b w:val="0"/>
                <w:sz w:val="20"/>
              </w:rPr>
              <w:t>TIT-01</w:t>
            </w:r>
          </w:p>
        </w:tc>
        <w:tc>
          <w:tcPr>
            <w:tcW w:w="5102" w:type="dxa"/>
          </w:tcPr>
          <w:p>
            <w:pPr>
              <w:spacing w:after="60"/>
            </w:pPr>
            <w:r/>
            <w:r>
              <w:rPr>
                <w:b w:val="0"/>
                <w:sz w:val="20"/>
              </w:rPr>
              <w:t>A definição de titular depende só do registo</w:t>
            </w:r>
          </w:p>
        </w:tc>
      </w:tr>
      <w:tr>
        <w:tc>
          <w:tcPr>
            <w:tcW w:w="1247" w:type="dxa"/>
          </w:tcPr>
          <w:p>
            <w:pPr>
              <w:spacing w:after="60"/>
            </w:pPr>
            <w:r/>
            <w:r>
              <w:rPr>
                <w:b w:val="0"/>
                <w:sz w:val="20"/>
              </w:rPr>
              <w:t>T-02</w:t>
            </w:r>
          </w:p>
        </w:tc>
        <w:tc>
          <w:tcPr>
            <w:tcW w:w="1247" w:type="dxa"/>
          </w:tcPr>
          <w:p>
            <w:pPr>
              <w:spacing w:after="60"/>
            </w:pPr>
            <w:r/>
            <w:r>
              <w:rPr>
                <w:b w:val="0"/>
                <w:sz w:val="20"/>
              </w:rPr>
              <w:t>P-02</w:t>
            </w:r>
          </w:p>
        </w:tc>
        <w:tc>
          <w:tcPr>
            <w:tcW w:w="1474" w:type="dxa"/>
          </w:tcPr>
          <w:p>
            <w:pPr>
              <w:spacing w:after="60"/>
            </w:pPr>
            <w:r/>
            <w:r>
              <w:rPr>
                <w:b w:val="0"/>
                <w:sz w:val="20"/>
              </w:rPr>
              <w:t>TIT-02</w:t>
            </w:r>
          </w:p>
        </w:tc>
        <w:tc>
          <w:tcPr>
            <w:tcW w:w="5102" w:type="dxa"/>
          </w:tcPr>
          <w:p>
            <w:pPr>
              <w:spacing w:after="60"/>
            </w:pPr>
            <w:r/>
            <w:r>
              <w:rPr>
                <w:b w:val="0"/>
                <w:sz w:val="20"/>
              </w:rPr>
              <w:t>Registo em nome de quem detém o animal e não de quem é dono</w:t>
            </w:r>
          </w:p>
        </w:tc>
      </w:tr>
      <w:tr>
        <w:tc>
          <w:tcPr>
            <w:tcW w:w="1247" w:type="dxa"/>
          </w:tcPr>
          <w:p>
            <w:pPr>
              <w:spacing w:after="60"/>
            </w:pPr>
            <w:r/>
            <w:r>
              <w:rPr>
                <w:b w:val="0"/>
                <w:sz w:val="20"/>
              </w:rPr>
              <w:t>T-03</w:t>
            </w:r>
          </w:p>
        </w:tc>
        <w:tc>
          <w:tcPr>
            <w:tcW w:w="1247" w:type="dxa"/>
          </w:tcPr>
          <w:p>
            <w:pPr>
              <w:spacing w:after="60"/>
            </w:pPr>
            <w:r/>
            <w:r>
              <w:rPr>
                <w:b w:val="0"/>
                <w:sz w:val="20"/>
              </w:rPr>
              <w:t>P-03</w:t>
            </w:r>
          </w:p>
        </w:tc>
        <w:tc>
          <w:tcPr>
            <w:tcW w:w="1474" w:type="dxa"/>
          </w:tcPr>
          <w:p>
            <w:pPr>
              <w:spacing w:after="60"/>
            </w:pPr>
            <w:r/>
            <w:r>
              <w:rPr>
                <w:b w:val="0"/>
                <w:sz w:val="20"/>
              </w:rPr>
              <w:t>TIT-03</w:t>
            </w:r>
          </w:p>
        </w:tc>
        <w:tc>
          <w:tcPr>
            <w:tcW w:w="5102" w:type="dxa"/>
          </w:tcPr>
          <w:p>
            <w:pPr>
              <w:spacing w:after="60"/>
            </w:pPr>
            <w:r/>
            <w:r>
              <w:rPr>
                <w:b w:val="0"/>
                <w:sz w:val="20"/>
              </w:rPr>
              <w:t>Sem regra sobre o valor do registo SIAC face à propriedade</w:t>
            </w:r>
          </w:p>
        </w:tc>
      </w:tr>
      <w:tr>
        <w:tc>
          <w:tcPr>
            <w:tcW w:w="1247" w:type="dxa"/>
          </w:tcPr>
          <w:p>
            <w:pPr>
              <w:spacing w:after="60"/>
            </w:pPr>
            <w:r/>
            <w:r>
              <w:rPr>
                <w:b w:val="0"/>
                <w:sz w:val="20"/>
              </w:rPr>
              <w:t>T-04</w:t>
            </w:r>
          </w:p>
        </w:tc>
        <w:tc>
          <w:tcPr>
            <w:tcW w:w="1247" w:type="dxa"/>
          </w:tcPr>
          <w:p>
            <w:pPr>
              <w:spacing w:after="60"/>
            </w:pPr>
            <w:r/>
            <w:r>
              <w:rPr>
                <w:b w:val="0"/>
                <w:sz w:val="20"/>
              </w:rPr>
              <w:t>P-04</w:t>
            </w:r>
          </w:p>
        </w:tc>
        <w:tc>
          <w:tcPr>
            <w:tcW w:w="1474" w:type="dxa"/>
          </w:tcPr>
          <w:p>
            <w:pPr>
              <w:spacing w:after="60"/>
            </w:pPr>
            <w:r/>
            <w:r>
              <w:rPr>
                <w:b w:val="0"/>
                <w:sz w:val="20"/>
              </w:rPr>
              <w:t>TIT-04</w:t>
            </w:r>
          </w:p>
        </w:tc>
        <w:tc>
          <w:tcPr>
            <w:tcW w:w="5102" w:type="dxa"/>
          </w:tcPr>
          <w:p>
            <w:pPr>
              <w:spacing w:after="60"/>
            </w:pPr>
            <w:r/>
            <w:r>
              <w:rPr>
                <w:b w:val="0"/>
                <w:sz w:val="20"/>
              </w:rPr>
              <w:t>O detentor deixa de ter de comunicar a morte do animal</w:t>
            </w:r>
          </w:p>
        </w:tc>
      </w:tr>
      <w:tr>
        <w:tc>
          <w:tcPr>
            <w:tcW w:w="1247" w:type="dxa"/>
          </w:tcPr>
          <w:p>
            <w:pPr>
              <w:spacing w:after="60"/>
            </w:pPr>
            <w:r/>
            <w:r>
              <w:rPr>
                <w:b w:val="0"/>
                <w:sz w:val="20"/>
              </w:rPr>
              <w:t>T-05</w:t>
            </w:r>
          </w:p>
        </w:tc>
        <w:tc>
          <w:tcPr>
            <w:tcW w:w="1247" w:type="dxa"/>
          </w:tcPr>
          <w:p>
            <w:pPr>
              <w:spacing w:after="60"/>
            </w:pPr>
            <w:r/>
            <w:r>
              <w:rPr>
                <w:b w:val="0"/>
                <w:sz w:val="20"/>
              </w:rPr>
              <w:t>P-05</w:t>
            </w:r>
          </w:p>
        </w:tc>
        <w:tc>
          <w:tcPr>
            <w:tcW w:w="1474" w:type="dxa"/>
          </w:tcPr>
          <w:p>
            <w:pPr>
              <w:spacing w:after="60"/>
            </w:pPr>
            <w:r/>
            <w:r>
              <w:rPr>
                <w:b w:val="0"/>
                <w:sz w:val="20"/>
              </w:rPr>
              <w:t>TIT-05</w:t>
            </w:r>
          </w:p>
        </w:tc>
        <w:tc>
          <w:tcPr>
            <w:tcW w:w="5102" w:type="dxa"/>
          </w:tcPr>
          <w:p>
            <w:pPr>
              <w:spacing w:after="60"/>
            </w:pPr>
            <w:r/>
            <w:r>
              <w:rPr>
                <w:b w:val="0"/>
                <w:sz w:val="20"/>
              </w:rPr>
              <w:t>A presunção de abandono remete para normas erradas e não diz a quem se aplica</w:t>
            </w:r>
          </w:p>
        </w:tc>
      </w:tr>
      <w:tr>
        <w:tc>
          <w:tcPr>
            <w:tcW w:w="1247" w:type="dxa"/>
          </w:tcPr>
          <w:p>
            <w:pPr>
              <w:spacing w:after="60"/>
            </w:pPr>
            <w:r/>
            <w:r>
              <w:rPr>
                <w:b w:val="0"/>
                <w:sz w:val="20"/>
              </w:rPr>
              <w:t>T-06</w:t>
            </w:r>
          </w:p>
        </w:tc>
        <w:tc>
          <w:tcPr>
            <w:tcW w:w="1247" w:type="dxa"/>
          </w:tcPr>
          <w:p>
            <w:pPr>
              <w:spacing w:after="60"/>
            </w:pPr>
            <w:r/>
            <w:r>
              <w:rPr>
                <w:b w:val="0"/>
                <w:sz w:val="20"/>
              </w:rPr>
              <w:t>P-06</w:t>
            </w:r>
          </w:p>
        </w:tc>
        <w:tc>
          <w:tcPr>
            <w:tcW w:w="1474" w:type="dxa"/>
          </w:tcPr>
          <w:p>
            <w:pPr>
              <w:spacing w:after="60"/>
            </w:pPr>
            <w:r/>
            <w:r>
              <w:rPr>
                <w:b w:val="0"/>
                <w:sz w:val="20"/>
              </w:rPr>
              <w:t>TIT-06</w:t>
            </w:r>
          </w:p>
        </w:tc>
        <w:tc>
          <w:tcPr>
            <w:tcW w:w="5102" w:type="dxa"/>
          </w:tcPr>
          <w:p>
            <w:pPr>
              <w:spacing w:after="60"/>
            </w:pPr>
            <w:r/>
            <w:r>
              <w:rPr>
                <w:b w:val="0"/>
                <w:sz w:val="20"/>
              </w:rPr>
              <w:t>O abandono não aparece como contraordenação</w:t>
            </w:r>
          </w:p>
        </w:tc>
      </w:tr>
      <w:tr>
        <w:tc>
          <w:tcPr>
            <w:tcW w:w="1247" w:type="dxa"/>
          </w:tcPr>
          <w:p>
            <w:pPr>
              <w:spacing w:after="60"/>
            </w:pPr>
            <w:r/>
            <w:r>
              <w:rPr>
                <w:b w:val="0"/>
                <w:sz w:val="20"/>
              </w:rPr>
              <w:t>T-07</w:t>
            </w:r>
          </w:p>
        </w:tc>
        <w:tc>
          <w:tcPr>
            <w:tcW w:w="1247" w:type="dxa"/>
          </w:tcPr>
          <w:p>
            <w:pPr>
              <w:spacing w:after="60"/>
            </w:pPr>
            <w:r/>
            <w:r>
              <w:rPr>
                <w:b w:val="0"/>
                <w:sz w:val="20"/>
              </w:rPr>
              <w:t>P-07</w:t>
            </w:r>
          </w:p>
        </w:tc>
        <w:tc>
          <w:tcPr>
            <w:tcW w:w="1474" w:type="dxa"/>
          </w:tcPr>
          <w:p>
            <w:pPr>
              <w:spacing w:after="60"/>
            </w:pPr>
            <w:r/>
            <w:r>
              <w:rPr>
                <w:b w:val="0"/>
                <w:sz w:val="20"/>
              </w:rPr>
              <w:t>TIT-07</w:t>
            </w:r>
          </w:p>
        </w:tc>
        <w:tc>
          <w:tcPr>
            <w:tcW w:w="5102" w:type="dxa"/>
          </w:tcPr>
          <w:p>
            <w:pPr>
              <w:spacing w:after="60"/>
            </w:pPr>
            <w:r/>
            <w:r>
              <w:rPr>
                <w:b w:val="0"/>
                <w:sz w:val="20"/>
              </w:rPr>
              <w:t>As portarias mantidas usam detentor no sentido antigo</w:t>
            </w:r>
          </w:p>
        </w:tc>
      </w:tr>
      <w:tr>
        <w:tc>
          <w:tcPr>
            <w:tcW w:w="1247" w:type="dxa"/>
          </w:tcPr>
          <w:p>
            <w:pPr>
              <w:spacing w:after="60"/>
            </w:pPr>
            <w:r/>
            <w:r>
              <w:rPr>
                <w:b w:val="0"/>
                <w:sz w:val="20"/>
              </w:rPr>
              <w:t>T-08</w:t>
            </w:r>
          </w:p>
        </w:tc>
        <w:tc>
          <w:tcPr>
            <w:tcW w:w="1247" w:type="dxa"/>
          </w:tcPr>
          <w:p>
            <w:pPr>
              <w:spacing w:after="60"/>
            </w:pPr>
            <w:r/>
            <w:r>
              <w:rPr>
                <w:b w:val="0"/>
                <w:sz w:val="20"/>
              </w:rPr>
              <w:t>P-08</w:t>
            </w:r>
          </w:p>
        </w:tc>
        <w:tc>
          <w:tcPr>
            <w:tcW w:w="1474" w:type="dxa"/>
          </w:tcPr>
          <w:p>
            <w:pPr>
              <w:spacing w:after="60"/>
            </w:pPr>
            <w:r/>
            <w:r>
              <w:rPr>
                <w:b w:val="0"/>
                <w:sz w:val="20"/>
              </w:rPr>
              <w:t>TIT-08</w:t>
            </w:r>
          </w:p>
        </w:tc>
        <w:tc>
          <w:tcPr>
            <w:tcW w:w="5102" w:type="dxa"/>
          </w:tcPr>
          <w:p>
            <w:pPr>
              <w:spacing w:after="60"/>
            </w:pPr>
            <w:r/>
            <w:r>
              <w:rPr>
                <w:b w:val="0"/>
                <w:sz w:val="20"/>
              </w:rPr>
              <w:t>Animais perigosos: o operador pode ser uma sociedade, o titular não</w:t>
            </w:r>
          </w:p>
        </w:tc>
      </w:tr>
      <w:tr>
        <w:tc>
          <w:tcPr>
            <w:tcW w:w="1247" w:type="dxa"/>
          </w:tcPr>
          <w:p>
            <w:pPr>
              <w:spacing w:after="60"/>
            </w:pPr>
            <w:r/>
            <w:r>
              <w:rPr>
                <w:b w:val="0"/>
                <w:sz w:val="20"/>
              </w:rPr>
              <w:t>T-09</w:t>
            </w:r>
          </w:p>
        </w:tc>
        <w:tc>
          <w:tcPr>
            <w:tcW w:w="1247" w:type="dxa"/>
          </w:tcPr>
          <w:p>
            <w:pPr>
              <w:spacing w:after="60"/>
            </w:pPr>
            <w:r/>
            <w:r>
              <w:rPr>
                <w:b w:val="0"/>
                <w:sz w:val="20"/>
              </w:rPr>
              <w:t>P-09</w:t>
            </w:r>
          </w:p>
        </w:tc>
        <w:tc>
          <w:tcPr>
            <w:tcW w:w="1474" w:type="dxa"/>
          </w:tcPr>
          <w:p>
            <w:pPr>
              <w:spacing w:after="60"/>
            </w:pPr>
            <w:r/>
            <w:r>
              <w:rPr>
                <w:b w:val="0"/>
                <w:sz w:val="20"/>
              </w:rPr>
              <w:t>TIT-09</w:t>
            </w:r>
          </w:p>
        </w:tc>
        <w:tc>
          <w:tcPr>
            <w:tcW w:w="5102" w:type="dxa"/>
          </w:tcPr>
          <w:p>
            <w:pPr>
              <w:spacing w:after="60"/>
            </w:pPr>
            <w:r/>
            <w:r>
              <w:rPr>
                <w:b w:val="0"/>
                <w:sz w:val="20"/>
              </w:rPr>
              <w:t>«Titular ou operador» quando o operador já é titular</w:t>
            </w:r>
          </w:p>
        </w:tc>
      </w:tr>
      <w:tr>
        <w:tc>
          <w:tcPr>
            <w:tcW w:w="1247" w:type="dxa"/>
          </w:tcPr>
          <w:p>
            <w:pPr>
              <w:spacing w:after="60"/>
            </w:pPr>
            <w:r/>
            <w:r>
              <w:rPr>
                <w:b w:val="0"/>
                <w:sz w:val="20"/>
              </w:rPr>
              <w:t>T-10</w:t>
            </w:r>
          </w:p>
        </w:tc>
        <w:tc>
          <w:tcPr>
            <w:tcW w:w="1247" w:type="dxa"/>
          </w:tcPr>
          <w:p>
            <w:pPr>
              <w:spacing w:after="60"/>
            </w:pPr>
            <w:r/>
            <w:r>
              <w:rPr>
                <w:b w:val="0"/>
                <w:sz w:val="20"/>
              </w:rPr>
              <w:t>P-10</w:t>
            </w:r>
          </w:p>
        </w:tc>
        <w:tc>
          <w:tcPr>
            <w:tcW w:w="1474" w:type="dxa"/>
          </w:tcPr>
          <w:p>
            <w:pPr>
              <w:spacing w:after="60"/>
            </w:pPr>
            <w:r/>
            <w:r>
              <w:rPr>
                <w:b w:val="0"/>
                <w:sz w:val="20"/>
              </w:rPr>
              <w:t>TIT-10</w:t>
            </w:r>
          </w:p>
        </w:tc>
        <w:tc>
          <w:tcPr>
            <w:tcW w:w="5102" w:type="dxa"/>
          </w:tcPr>
          <w:p>
            <w:pPr>
              <w:spacing w:after="60"/>
            </w:pPr>
            <w:r/>
            <w:r>
              <w:rPr>
                <w:b w:val="0"/>
                <w:sz w:val="20"/>
              </w:rPr>
              <w:t>Terminologia do CRO ainda não uniforme</w:t>
            </w:r>
          </w:p>
        </w:tc>
      </w:tr>
      <w:tr>
        <w:tc>
          <w:tcPr>
            <w:tcW w:w="1247" w:type="dxa"/>
          </w:tcPr>
          <w:p>
            <w:pPr>
              <w:spacing w:after="60"/>
            </w:pPr>
            <w:r/>
            <w:r>
              <w:rPr>
                <w:b w:val="0"/>
                <w:sz w:val="20"/>
              </w:rPr>
              <w:t>T-11</w:t>
            </w:r>
          </w:p>
        </w:tc>
        <w:tc>
          <w:tcPr>
            <w:tcW w:w="1247" w:type="dxa"/>
          </w:tcPr>
          <w:p>
            <w:pPr>
              <w:spacing w:after="60"/>
            </w:pPr>
            <w:r/>
            <w:r>
              <w:rPr>
                <w:b w:val="0"/>
                <w:sz w:val="20"/>
              </w:rPr>
              <w:t>P-11</w:t>
            </w:r>
          </w:p>
        </w:tc>
        <w:tc>
          <w:tcPr>
            <w:tcW w:w="1474" w:type="dxa"/>
          </w:tcPr>
          <w:p>
            <w:pPr>
              <w:spacing w:after="60"/>
            </w:pPr>
            <w:r/>
            <w:r>
              <w:rPr>
                <w:b w:val="0"/>
                <w:sz w:val="20"/>
              </w:rPr>
              <w:t>TIT-11</w:t>
            </w:r>
          </w:p>
        </w:tc>
        <w:tc>
          <w:tcPr>
            <w:tcW w:w="5102" w:type="dxa"/>
          </w:tcPr>
          <w:p>
            <w:pPr>
              <w:spacing w:after="60"/>
            </w:pPr>
            <w:r/>
            <w:r>
              <w:rPr>
                <w:b w:val="0"/>
                <w:sz w:val="20"/>
              </w:rPr>
              <w:t>Contraordenação dirigida só aos detentores</w:t>
            </w:r>
          </w:p>
        </w:tc>
      </w:tr>
      <w:tr>
        <w:tc>
          <w:tcPr>
            <w:tcW w:w="1247" w:type="dxa"/>
          </w:tcPr>
          <w:p>
            <w:pPr>
              <w:spacing w:after="60"/>
            </w:pPr>
            <w:r/>
            <w:r>
              <w:rPr>
                <w:b w:val="0"/>
                <w:sz w:val="20"/>
              </w:rPr>
              <w:t>T-12</w:t>
            </w:r>
          </w:p>
        </w:tc>
        <w:tc>
          <w:tcPr>
            <w:tcW w:w="1247" w:type="dxa"/>
          </w:tcPr>
          <w:p>
            <w:pPr>
              <w:spacing w:after="60"/>
            </w:pPr>
            <w:r/>
            <w:r>
              <w:rPr>
                <w:b w:val="0"/>
                <w:sz w:val="20"/>
              </w:rPr>
              <w:t>P-12</w:t>
            </w:r>
          </w:p>
        </w:tc>
        <w:tc>
          <w:tcPr>
            <w:tcW w:w="1474" w:type="dxa"/>
          </w:tcPr>
          <w:p>
            <w:pPr>
              <w:spacing w:after="60"/>
            </w:pPr>
            <w:r/>
            <w:r>
              <w:rPr>
                <w:b w:val="0"/>
                <w:sz w:val="20"/>
              </w:rPr>
              <w:t>TIT-12</w:t>
            </w:r>
          </w:p>
        </w:tc>
        <w:tc>
          <w:tcPr>
            <w:tcW w:w="5102" w:type="dxa"/>
          </w:tcPr>
          <w:p>
            <w:pPr>
              <w:spacing w:after="60"/>
            </w:pPr>
            <w:r/>
            <w:r>
              <w:rPr>
                <w:b w:val="0"/>
                <w:sz w:val="20"/>
              </w:rPr>
              <w:t>Redação por decidir no art. 22.º</w:t>
            </w:r>
          </w:p>
        </w:tc>
      </w:tr>
      <w:tr>
        <w:tc>
          <w:tcPr>
            <w:tcW w:w="1247" w:type="dxa"/>
          </w:tcPr>
          <w:p>
            <w:pPr>
              <w:spacing w:after="60"/>
            </w:pPr>
            <w:r/>
            <w:r>
              <w:rPr>
                <w:b w:val="0"/>
                <w:sz w:val="20"/>
              </w:rPr>
              <w:t>T-13</w:t>
            </w:r>
          </w:p>
        </w:tc>
        <w:tc>
          <w:tcPr>
            <w:tcW w:w="1247" w:type="dxa"/>
          </w:tcPr>
          <w:p>
            <w:pPr>
              <w:spacing w:after="60"/>
            </w:pPr>
            <w:r/>
            <w:r>
              <w:rPr>
                <w:b w:val="0"/>
                <w:sz w:val="20"/>
              </w:rPr>
              <w:t>P-13</w:t>
            </w:r>
          </w:p>
        </w:tc>
        <w:tc>
          <w:tcPr>
            <w:tcW w:w="1474" w:type="dxa"/>
          </w:tcPr>
          <w:p>
            <w:pPr>
              <w:spacing w:after="60"/>
            </w:pPr>
            <w:r/>
            <w:r>
              <w:rPr>
                <w:b w:val="0"/>
                <w:sz w:val="20"/>
              </w:rPr>
              <w:t>TIT-13</w:t>
            </w:r>
          </w:p>
        </w:tc>
        <w:tc>
          <w:tcPr>
            <w:tcW w:w="5102" w:type="dxa"/>
          </w:tcPr>
          <w:p>
            <w:pPr>
              <w:spacing w:after="60"/>
            </w:pPr>
            <w:r/>
            <w:r>
              <w:rPr>
                <w:b w:val="0"/>
                <w:sz w:val="20"/>
              </w:rPr>
              <w:t>Quem responde pelos danos causados pelo animal</w:t>
            </w:r>
          </w:p>
        </w:tc>
      </w:tr>
      <w:tr>
        <w:tc>
          <w:tcPr>
            <w:tcW w:w="1247" w:type="dxa"/>
          </w:tcPr>
          <w:p>
            <w:pPr>
              <w:spacing w:after="60"/>
            </w:pPr>
            <w:r/>
            <w:r>
              <w:rPr>
                <w:b w:val="0"/>
                <w:sz w:val="20"/>
              </w:rPr>
              <w:t>T-14</w:t>
            </w:r>
          </w:p>
        </w:tc>
        <w:tc>
          <w:tcPr>
            <w:tcW w:w="1247" w:type="dxa"/>
          </w:tcPr>
          <w:p>
            <w:pPr>
              <w:spacing w:after="60"/>
            </w:pPr>
            <w:r/>
            <w:r>
              <w:rPr>
                <w:b w:val="0"/>
                <w:sz w:val="20"/>
              </w:rPr>
              <w:t>P-14</w:t>
            </w:r>
          </w:p>
        </w:tc>
        <w:tc>
          <w:tcPr>
            <w:tcW w:w="1474" w:type="dxa"/>
          </w:tcPr>
          <w:p>
            <w:pPr>
              <w:spacing w:after="60"/>
            </w:pPr>
            <w:r/>
            <w:r>
              <w:rPr>
                <w:b w:val="0"/>
                <w:sz w:val="20"/>
              </w:rPr>
              <w:t>TIT-14</w:t>
            </w:r>
          </w:p>
        </w:tc>
        <w:tc>
          <w:tcPr>
            <w:tcW w:w="5102" w:type="dxa"/>
          </w:tcPr>
          <w:p>
            <w:pPr>
              <w:spacing w:after="60"/>
            </w:pPr>
            <w:r/>
            <w:r>
              <w:rPr>
                <w:b w:val="0"/>
                <w:sz w:val="20"/>
              </w:rPr>
              <w:t>Família de acolhimento sem operador fica sem enquadramento</w:t>
            </w:r>
          </w:p>
        </w:tc>
      </w:tr>
      <w:tr>
        <w:tc>
          <w:tcPr>
            <w:tcW w:w="1247" w:type="dxa"/>
          </w:tcPr>
          <w:p>
            <w:pPr>
              <w:spacing w:after="60"/>
            </w:pPr>
            <w:r/>
            <w:r>
              <w:rPr>
                <w:b w:val="0"/>
                <w:sz w:val="20"/>
              </w:rPr>
              <w:t>T-15</w:t>
            </w:r>
          </w:p>
        </w:tc>
        <w:tc>
          <w:tcPr>
            <w:tcW w:w="1247" w:type="dxa"/>
          </w:tcPr>
          <w:p>
            <w:pPr>
              <w:spacing w:after="60"/>
            </w:pPr>
            <w:r/>
            <w:r>
              <w:rPr>
                <w:b w:val="0"/>
                <w:sz w:val="20"/>
              </w:rPr>
              <w:t>P-15</w:t>
            </w:r>
          </w:p>
        </w:tc>
        <w:tc>
          <w:tcPr>
            <w:tcW w:w="1474" w:type="dxa"/>
          </w:tcPr>
          <w:p>
            <w:pPr>
              <w:spacing w:after="60"/>
            </w:pPr>
            <w:r/>
            <w:r>
              <w:rPr>
                <w:b w:val="0"/>
                <w:sz w:val="20"/>
              </w:rPr>
              <w:t>TIT-15</w:t>
            </w:r>
          </w:p>
        </w:tc>
        <w:tc>
          <w:tcPr>
            <w:tcW w:w="5102" w:type="dxa"/>
          </w:tcPr>
          <w:p>
            <w:pPr>
              <w:spacing w:after="60"/>
            </w:pPr>
            <w:r/>
            <w:r>
              <w:rPr>
                <w:b w:val="0"/>
                <w:sz w:val="20"/>
              </w:rPr>
              <w:t>Quem encontra um animal passa a poder ser punido</w:t>
            </w:r>
          </w:p>
        </w:tc>
      </w:tr>
      <w:tr>
        <w:tc>
          <w:tcPr>
            <w:tcW w:w="1247" w:type="dxa"/>
          </w:tcPr>
          <w:p>
            <w:pPr>
              <w:spacing w:after="60"/>
            </w:pPr>
            <w:r/>
            <w:r>
              <w:rPr>
                <w:b w:val="0"/>
                <w:sz w:val="20"/>
              </w:rPr>
              <w:t>T-16</w:t>
            </w:r>
          </w:p>
        </w:tc>
        <w:tc>
          <w:tcPr>
            <w:tcW w:w="1247" w:type="dxa"/>
          </w:tcPr>
          <w:p>
            <w:pPr>
              <w:spacing w:after="60"/>
            </w:pPr>
            <w:r/>
            <w:r>
              <w:rPr>
                <w:b w:val="0"/>
                <w:sz w:val="20"/>
              </w:rPr>
              <w:t>P-16</w:t>
            </w:r>
          </w:p>
        </w:tc>
        <w:tc>
          <w:tcPr>
            <w:tcW w:w="1474" w:type="dxa"/>
          </w:tcPr>
          <w:p>
            <w:pPr>
              <w:spacing w:after="60"/>
            </w:pPr>
            <w:r/>
            <w:r>
              <w:rPr>
                <w:b w:val="0"/>
                <w:sz w:val="20"/>
              </w:rPr>
              <w:t>TIT-16</w:t>
            </w:r>
          </w:p>
        </w:tc>
        <w:tc>
          <w:tcPr>
            <w:tcW w:w="5102" w:type="dxa"/>
          </w:tcPr>
          <w:p>
            <w:pPr>
              <w:spacing w:after="60"/>
            </w:pPr>
            <w:r/>
            <w:r>
              <w:rPr>
                <w:b w:val="0"/>
                <w:sz w:val="20"/>
              </w:rPr>
              <w:t>Detentores de facto que dizem tratar de animais errantes</w:t>
            </w:r>
          </w:p>
        </w:tc>
      </w:tr>
      <w:tr>
        <w:tc>
          <w:tcPr>
            <w:tcW w:w="1247" w:type="dxa"/>
          </w:tcPr>
          <w:p>
            <w:pPr>
              <w:spacing w:after="60"/>
            </w:pPr>
            <w:r/>
            <w:r>
              <w:rPr>
                <w:b w:val="0"/>
                <w:sz w:val="20"/>
              </w:rPr>
              <w:t>T-17</w:t>
            </w:r>
          </w:p>
        </w:tc>
        <w:tc>
          <w:tcPr>
            <w:tcW w:w="1247" w:type="dxa"/>
          </w:tcPr>
          <w:p>
            <w:pPr>
              <w:spacing w:after="60"/>
            </w:pPr>
            <w:r/>
            <w:r>
              <w:rPr>
                <w:b w:val="0"/>
                <w:sz w:val="20"/>
              </w:rPr>
              <w:t>P-17</w:t>
            </w:r>
          </w:p>
        </w:tc>
        <w:tc>
          <w:tcPr>
            <w:tcW w:w="1474" w:type="dxa"/>
          </w:tcPr>
          <w:p>
            <w:pPr>
              <w:spacing w:after="60"/>
            </w:pPr>
            <w:r/>
            <w:r>
              <w:rPr>
                <w:b w:val="0"/>
                <w:sz w:val="20"/>
              </w:rPr>
              <w:t>TIT-17</w:t>
            </w:r>
          </w:p>
        </w:tc>
        <w:tc>
          <w:tcPr>
            <w:tcW w:w="5102" w:type="dxa"/>
          </w:tcPr>
          <w:p>
            <w:pPr>
              <w:spacing w:after="60"/>
            </w:pPr>
            <w:r/>
            <w:r>
              <w:rPr>
                <w:b w:val="0"/>
                <w:sz w:val="20"/>
              </w:rPr>
              <w:t>Prazos de comunicação ao SIAC mais pesados do que o Regulamento europeu</w:t>
            </w:r>
          </w:p>
        </w:tc>
      </w:tr>
      <w:tr>
        <w:tc>
          <w:tcPr>
            <w:tcW w:w="1247" w:type="dxa"/>
          </w:tcPr>
          <w:p>
            <w:pPr>
              <w:spacing w:after="60"/>
            </w:pPr>
            <w:r/>
            <w:r>
              <w:rPr>
                <w:b w:val="0"/>
                <w:sz w:val="20"/>
              </w:rPr>
              <w:t>T-18</w:t>
            </w:r>
          </w:p>
        </w:tc>
        <w:tc>
          <w:tcPr>
            <w:tcW w:w="1247" w:type="dxa"/>
          </w:tcPr>
          <w:p>
            <w:pPr>
              <w:spacing w:after="60"/>
            </w:pPr>
            <w:r/>
            <w:r>
              <w:rPr>
                <w:b w:val="0"/>
                <w:sz w:val="20"/>
              </w:rPr>
              <w:t>P-18</w:t>
            </w:r>
          </w:p>
        </w:tc>
        <w:tc>
          <w:tcPr>
            <w:tcW w:w="1474" w:type="dxa"/>
          </w:tcPr>
          <w:p>
            <w:pPr>
              <w:spacing w:after="60"/>
            </w:pPr>
            <w:r/>
            <w:r>
              <w:rPr>
                <w:b w:val="0"/>
                <w:sz w:val="20"/>
              </w:rPr>
              <w:t>TIT-18</w:t>
            </w:r>
          </w:p>
        </w:tc>
        <w:tc>
          <w:tcPr>
            <w:tcW w:w="5102" w:type="dxa"/>
          </w:tcPr>
          <w:p>
            <w:pPr>
              <w:spacing w:after="60"/>
            </w:pPr>
            <w:r/>
            <w:r>
              <w:rPr>
                <w:b w:val="0"/>
                <w:sz w:val="20"/>
              </w:rPr>
              <w:t>Animais deixados em centros veterinários</w:t>
            </w:r>
          </w:p>
        </w:tc>
      </w:tr>
      <w:tr>
        <w:tc>
          <w:tcPr>
            <w:tcW w:w="1247" w:type="dxa"/>
          </w:tcPr>
          <w:p>
            <w:pPr>
              <w:spacing w:after="60"/>
            </w:pPr>
            <w:r/>
            <w:r>
              <w:rPr>
                <w:b w:val="0"/>
                <w:sz w:val="20"/>
              </w:rPr>
              <w:t>T-19</w:t>
            </w:r>
          </w:p>
        </w:tc>
        <w:tc>
          <w:tcPr>
            <w:tcW w:w="1247" w:type="dxa"/>
          </w:tcPr>
          <w:p>
            <w:pPr>
              <w:spacing w:after="60"/>
            </w:pPr>
            <w:r/>
            <w:r>
              <w:rPr>
                <w:b w:val="0"/>
                <w:sz w:val="20"/>
              </w:rPr>
              <w:t>P-36</w:t>
            </w:r>
          </w:p>
        </w:tc>
        <w:tc>
          <w:tcPr>
            <w:tcW w:w="1474" w:type="dxa"/>
          </w:tcPr>
          <w:p>
            <w:pPr>
              <w:spacing w:after="60"/>
            </w:pPr>
            <w:r/>
            <w:r>
              <w:rPr>
                <w:b w:val="0"/>
                <w:sz w:val="20"/>
              </w:rPr>
              <w:t>TIT-19</w:t>
            </w:r>
          </w:p>
        </w:tc>
        <w:tc>
          <w:tcPr>
            <w:tcW w:w="5102" w:type="dxa"/>
          </w:tcPr>
          <w:p>
            <w:pPr>
              <w:spacing w:after="60"/>
            </w:pPr>
            <w:r/>
            <w:r>
              <w:rPr>
                <w:b w:val="0"/>
                <w:sz w:val="20"/>
              </w:rPr>
              <w:t>Nada diz quem é titular quando o animal não tem proprietário</w:t>
            </w:r>
          </w:p>
        </w:tc>
      </w:tr>
      <w:tr>
        <w:tc>
          <w:tcPr>
            <w:tcW w:w="1247" w:type="dxa"/>
          </w:tcPr>
          <w:p>
            <w:pPr>
              <w:spacing w:after="60"/>
            </w:pPr>
            <w:r/>
            <w:r>
              <w:rPr>
                <w:b w:val="0"/>
                <w:sz w:val="20"/>
              </w:rPr>
              <w:t>C-01</w:t>
            </w:r>
          </w:p>
        </w:tc>
        <w:tc>
          <w:tcPr>
            <w:tcW w:w="1247" w:type="dxa"/>
          </w:tcPr>
          <w:p>
            <w:pPr>
              <w:spacing w:after="60"/>
            </w:pPr>
            <w:r/>
            <w:r>
              <w:rPr>
                <w:b w:val="0"/>
                <w:sz w:val="20"/>
              </w:rPr>
              <w:t>P-19</w:t>
            </w:r>
          </w:p>
        </w:tc>
        <w:tc>
          <w:tcPr>
            <w:tcW w:w="1474" w:type="dxa"/>
          </w:tcPr>
          <w:p>
            <w:pPr>
              <w:spacing w:after="60"/>
            </w:pPr>
            <w:r/>
            <w:r>
              <w:rPr>
                <w:b w:val="0"/>
                <w:sz w:val="20"/>
              </w:rPr>
              <w:t>CED-01</w:t>
            </w:r>
          </w:p>
        </w:tc>
        <w:tc>
          <w:tcPr>
            <w:tcW w:w="5102" w:type="dxa"/>
          </w:tcPr>
          <w:p>
            <w:pPr>
              <w:spacing w:after="60"/>
            </w:pPr>
            <w:r/>
            <w:r>
              <w:rPr>
                <w:b w:val="0"/>
                <w:sz w:val="20"/>
              </w:rPr>
              <w:t>O CED passa a ser só uma faculdade das câmaras</w:t>
            </w:r>
          </w:p>
        </w:tc>
      </w:tr>
      <w:tr>
        <w:tc>
          <w:tcPr>
            <w:tcW w:w="1247" w:type="dxa"/>
          </w:tcPr>
          <w:p>
            <w:pPr>
              <w:spacing w:after="60"/>
            </w:pPr>
            <w:r/>
            <w:r>
              <w:rPr>
                <w:b w:val="0"/>
                <w:sz w:val="20"/>
              </w:rPr>
              <w:t>C-02</w:t>
            </w:r>
          </w:p>
        </w:tc>
        <w:tc>
          <w:tcPr>
            <w:tcW w:w="1247" w:type="dxa"/>
          </w:tcPr>
          <w:p>
            <w:pPr>
              <w:spacing w:after="60"/>
            </w:pPr>
            <w:r/>
            <w:r>
              <w:rPr>
                <w:b w:val="0"/>
                <w:sz w:val="20"/>
              </w:rPr>
              <w:t>P-20</w:t>
            </w:r>
          </w:p>
        </w:tc>
        <w:tc>
          <w:tcPr>
            <w:tcW w:w="1474" w:type="dxa"/>
          </w:tcPr>
          <w:p>
            <w:pPr>
              <w:spacing w:after="60"/>
            </w:pPr>
            <w:r/>
            <w:r>
              <w:rPr>
                <w:b w:val="0"/>
                <w:sz w:val="20"/>
              </w:rPr>
              <w:t>CED-02</w:t>
            </w:r>
          </w:p>
        </w:tc>
        <w:tc>
          <w:tcPr>
            <w:tcW w:w="5102" w:type="dxa"/>
          </w:tcPr>
          <w:p>
            <w:pPr>
              <w:spacing w:after="60"/>
            </w:pPr>
            <w:r/>
            <w:r>
              <w:rPr>
                <w:b w:val="0"/>
                <w:sz w:val="20"/>
              </w:rPr>
              <w:t>O cuidador de colónia não existe no texto</w:t>
            </w:r>
          </w:p>
        </w:tc>
      </w:tr>
      <w:tr>
        <w:tc>
          <w:tcPr>
            <w:tcW w:w="1247" w:type="dxa"/>
          </w:tcPr>
          <w:p>
            <w:pPr>
              <w:spacing w:after="60"/>
            </w:pPr>
            <w:r/>
            <w:r>
              <w:rPr>
                <w:b w:val="0"/>
                <w:sz w:val="20"/>
              </w:rPr>
              <w:t>C-03</w:t>
            </w:r>
          </w:p>
        </w:tc>
        <w:tc>
          <w:tcPr>
            <w:tcW w:w="1247" w:type="dxa"/>
          </w:tcPr>
          <w:p>
            <w:pPr>
              <w:spacing w:after="60"/>
            </w:pPr>
            <w:r/>
            <w:r>
              <w:rPr>
                <w:b w:val="0"/>
                <w:sz w:val="20"/>
              </w:rPr>
              <w:t>P-21</w:t>
            </w:r>
          </w:p>
        </w:tc>
        <w:tc>
          <w:tcPr>
            <w:tcW w:w="1474" w:type="dxa"/>
          </w:tcPr>
          <w:p>
            <w:pPr>
              <w:spacing w:after="60"/>
            </w:pPr>
            <w:r/>
            <w:r>
              <w:rPr>
                <w:b w:val="0"/>
                <w:sz w:val="20"/>
              </w:rPr>
              <w:t>CED-03</w:t>
            </w:r>
          </w:p>
        </w:tc>
        <w:tc>
          <w:tcPr>
            <w:tcW w:w="5102" w:type="dxa"/>
          </w:tcPr>
          <w:p>
            <w:pPr>
              <w:spacing w:after="60"/>
            </w:pPr>
            <w:r/>
            <w:r>
              <w:rPr>
                <w:b w:val="0"/>
                <w:sz w:val="20"/>
              </w:rPr>
              <w:t>Proibição nacional de alimentar animais na via pública</w:t>
            </w:r>
          </w:p>
        </w:tc>
      </w:tr>
      <w:tr>
        <w:tc>
          <w:tcPr>
            <w:tcW w:w="1247" w:type="dxa"/>
          </w:tcPr>
          <w:p>
            <w:pPr>
              <w:spacing w:after="60"/>
            </w:pPr>
            <w:r/>
            <w:r>
              <w:rPr>
                <w:b w:val="0"/>
                <w:sz w:val="20"/>
              </w:rPr>
              <w:t>C-04</w:t>
            </w:r>
          </w:p>
        </w:tc>
        <w:tc>
          <w:tcPr>
            <w:tcW w:w="1247" w:type="dxa"/>
          </w:tcPr>
          <w:p>
            <w:pPr>
              <w:spacing w:after="60"/>
            </w:pPr>
            <w:r/>
            <w:r>
              <w:rPr>
                <w:b w:val="0"/>
                <w:sz w:val="20"/>
              </w:rPr>
              <w:t>P-22</w:t>
            </w:r>
          </w:p>
        </w:tc>
        <w:tc>
          <w:tcPr>
            <w:tcW w:w="1474" w:type="dxa"/>
          </w:tcPr>
          <w:p>
            <w:pPr>
              <w:spacing w:after="60"/>
            </w:pPr>
            <w:r/>
            <w:r>
              <w:rPr>
                <w:b w:val="0"/>
                <w:sz w:val="20"/>
              </w:rPr>
              <w:t>CED-04</w:t>
            </w:r>
          </w:p>
        </w:tc>
        <w:tc>
          <w:tcPr>
            <w:tcW w:w="5102" w:type="dxa"/>
          </w:tcPr>
          <w:p>
            <w:pPr>
              <w:spacing w:after="60"/>
            </w:pPr>
            <w:r/>
            <w:r>
              <w:rPr>
                <w:b w:val="0"/>
                <w:sz w:val="20"/>
              </w:rPr>
              <w:t>Só as câmaras podem capturar, mas o CED pode ser gerido por outras entidades</w:t>
            </w:r>
          </w:p>
        </w:tc>
      </w:tr>
      <w:tr>
        <w:tc>
          <w:tcPr>
            <w:tcW w:w="1247" w:type="dxa"/>
          </w:tcPr>
          <w:p>
            <w:pPr>
              <w:spacing w:after="60"/>
            </w:pPr>
            <w:r/>
            <w:r>
              <w:rPr>
                <w:b w:val="0"/>
                <w:sz w:val="20"/>
              </w:rPr>
              <w:t>C-05</w:t>
            </w:r>
          </w:p>
        </w:tc>
        <w:tc>
          <w:tcPr>
            <w:tcW w:w="1247" w:type="dxa"/>
          </w:tcPr>
          <w:p>
            <w:pPr>
              <w:spacing w:after="60"/>
            </w:pPr>
            <w:r/>
            <w:r>
              <w:rPr>
                <w:b w:val="0"/>
                <w:sz w:val="20"/>
              </w:rPr>
              <w:t>P-23</w:t>
            </w:r>
          </w:p>
        </w:tc>
        <w:tc>
          <w:tcPr>
            <w:tcW w:w="1474" w:type="dxa"/>
          </w:tcPr>
          <w:p>
            <w:pPr>
              <w:spacing w:after="60"/>
            </w:pPr>
            <w:r/>
            <w:r>
              <w:rPr>
                <w:b w:val="0"/>
                <w:sz w:val="20"/>
              </w:rPr>
              <w:t>CED-05</w:t>
            </w:r>
          </w:p>
        </w:tc>
        <w:tc>
          <w:tcPr>
            <w:tcW w:w="5102" w:type="dxa"/>
          </w:tcPr>
          <w:p>
            <w:pPr>
              <w:spacing w:after="60"/>
            </w:pPr>
            <w:r/>
            <w:r>
              <w:rPr>
                <w:b w:val="0"/>
                <w:sz w:val="20"/>
              </w:rPr>
              <w:t>Passagem obrigatória pelo CRO antes de o gato entrar na colónia</w:t>
            </w:r>
          </w:p>
        </w:tc>
      </w:tr>
      <w:tr>
        <w:tc>
          <w:tcPr>
            <w:tcW w:w="1247" w:type="dxa"/>
          </w:tcPr>
          <w:p>
            <w:pPr>
              <w:spacing w:after="60"/>
            </w:pPr>
            <w:r/>
            <w:r>
              <w:rPr>
                <w:b w:val="0"/>
                <w:sz w:val="20"/>
              </w:rPr>
              <w:t>C-06</w:t>
            </w:r>
          </w:p>
        </w:tc>
        <w:tc>
          <w:tcPr>
            <w:tcW w:w="1247" w:type="dxa"/>
          </w:tcPr>
          <w:p>
            <w:pPr>
              <w:spacing w:after="60"/>
            </w:pPr>
            <w:r/>
            <w:r>
              <w:rPr>
                <w:b w:val="0"/>
                <w:sz w:val="20"/>
              </w:rPr>
              <w:t>P-24</w:t>
            </w:r>
          </w:p>
        </w:tc>
        <w:tc>
          <w:tcPr>
            <w:tcW w:w="1474" w:type="dxa"/>
          </w:tcPr>
          <w:p>
            <w:pPr>
              <w:spacing w:after="60"/>
            </w:pPr>
            <w:r/>
            <w:r>
              <w:rPr>
                <w:b w:val="0"/>
                <w:sz w:val="20"/>
              </w:rPr>
              <w:t>CED-06</w:t>
            </w:r>
          </w:p>
        </w:tc>
        <w:tc>
          <w:tcPr>
            <w:tcW w:w="5102" w:type="dxa"/>
          </w:tcPr>
          <w:p>
            <w:pPr>
              <w:spacing w:after="60"/>
            </w:pPr>
            <w:r/>
            <w:r>
              <w:rPr>
                <w:b w:val="0"/>
                <w:sz w:val="20"/>
              </w:rPr>
              <w:t>Exclusão dos cães do CED</w:t>
            </w:r>
          </w:p>
        </w:tc>
      </w:tr>
      <w:tr>
        <w:tc>
          <w:tcPr>
            <w:tcW w:w="1247" w:type="dxa"/>
          </w:tcPr>
          <w:p>
            <w:pPr>
              <w:spacing w:after="60"/>
            </w:pPr>
            <w:r/>
            <w:r>
              <w:rPr>
                <w:b w:val="0"/>
                <w:sz w:val="20"/>
              </w:rPr>
              <w:t>C-07</w:t>
            </w:r>
          </w:p>
        </w:tc>
        <w:tc>
          <w:tcPr>
            <w:tcW w:w="1247" w:type="dxa"/>
          </w:tcPr>
          <w:p>
            <w:pPr>
              <w:spacing w:after="60"/>
            </w:pPr>
            <w:r/>
            <w:r>
              <w:rPr>
                <w:b w:val="0"/>
                <w:sz w:val="20"/>
              </w:rPr>
              <w:t>P-25</w:t>
            </w:r>
          </w:p>
        </w:tc>
        <w:tc>
          <w:tcPr>
            <w:tcW w:w="1474" w:type="dxa"/>
          </w:tcPr>
          <w:p>
            <w:pPr>
              <w:spacing w:after="60"/>
            </w:pPr>
            <w:r/>
            <w:r>
              <w:rPr>
                <w:b w:val="0"/>
                <w:sz w:val="20"/>
              </w:rPr>
              <w:t>CED-07</w:t>
            </w:r>
          </w:p>
        </w:tc>
        <w:tc>
          <w:tcPr>
            <w:tcW w:w="5102" w:type="dxa"/>
          </w:tcPr>
          <w:p>
            <w:pPr>
              <w:spacing w:after="60"/>
            </w:pPr>
            <w:r/>
            <w:r>
              <w:rPr>
                <w:b w:val="0"/>
                <w:sz w:val="20"/>
              </w:rPr>
              <w:t>Remissões e numeração erradas no artigo do CED</w:t>
            </w:r>
          </w:p>
        </w:tc>
      </w:tr>
      <w:tr>
        <w:tc>
          <w:tcPr>
            <w:tcW w:w="1247" w:type="dxa"/>
          </w:tcPr>
          <w:p>
            <w:pPr>
              <w:spacing w:after="60"/>
            </w:pPr>
            <w:r/>
            <w:r>
              <w:rPr>
                <w:b w:val="0"/>
                <w:sz w:val="20"/>
              </w:rPr>
              <w:t>C-08</w:t>
            </w:r>
          </w:p>
        </w:tc>
        <w:tc>
          <w:tcPr>
            <w:tcW w:w="1247" w:type="dxa"/>
          </w:tcPr>
          <w:p>
            <w:pPr>
              <w:spacing w:after="60"/>
            </w:pPr>
            <w:r/>
            <w:r>
              <w:rPr>
                <w:b w:val="0"/>
                <w:sz w:val="20"/>
              </w:rPr>
              <w:t>P-26</w:t>
            </w:r>
          </w:p>
        </w:tc>
        <w:tc>
          <w:tcPr>
            <w:tcW w:w="1474" w:type="dxa"/>
          </w:tcPr>
          <w:p>
            <w:pPr>
              <w:spacing w:after="60"/>
            </w:pPr>
            <w:r/>
            <w:r>
              <w:rPr>
                <w:b w:val="0"/>
                <w:sz w:val="20"/>
              </w:rPr>
              <w:t>CED-08</w:t>
            </w:r>
          </w:p>
        </w:tc>
        <w:tc>
          <w:tcPr>
            <w:tcW w:w="5102" w:type="dxa"/>
          </w:tcPr>
          <w:p>
            <w:pPr>
              <w:spacing w:after="60"/>
            </w:pPr>
            <w:r/>
            <w:r>
              <w:rPr>
                <w:b w:val="0"/>
                <w:sz w:val="20"/>
              </w:rPr>
              <w:t>Entidade promotora, entidade responsável e titular: quem responde pela colónia</w:t>
            </w:r>
          </w:p>
        </w:tc>
      </w:tr>
      <w:tr>
        <w:tc>
          <w:tcPr>
            <w:tcW w:w="1247" w:type="dxa"/>
          </w:tcPr>
          <w:p>
            <w:pPr>
              <w:spacing w:after="60"/>
            </w:pPr>
            <w:r/>
            <w:r>
              <w:rPr>
                <w:b w:val="0"/>
                <w:sz w:val="20"/>
              </w:rPr>
              <w:t>C-09</w:t>
            </w:r>
          </w:p>
        </w:tc>
        <w:tc>
          <w:tcPr>
            <w:tcW w:w="1247" w:type="dxa"/>
          </w:tcPr>
          <w:p>
            <w:pPr>
              <w:spacing w:after="60"/>
            </w:pPr>
            <w:r/>
            <w:r>
              <w:rPr>
                <w:b w:val="0"/>
                <w:sz w:val="20"/>
              </w:rPr>
              <w:t>P-27</w:t>
            </w:r>
          </w:p>
        </w:tc>
        <w:tc>
          <w:tcPr>
            <w:tcW w:w="1474" w:type="dxa"/>
          </w:tcPr>
          <w:p>
            <w:pPr>
              <w:spacing w:after="60"/>
            </w:pPr>
            <w:r/>
            <w:r>
              <w:rPr>
                <w:b w:val="0"/>
                <w:sz w:val="20"/>
              </w:rPr>
              <w:t>CED-09</w:t>
            </w:r>
          </w:p>
        </w:tc>
        <w:tc>
          <w:tcPr>
            <w:tcW w:w="5102" w:type="dxa"/>
          </w:tcPr>
          <w:p>
            <w:pPr>
              <w:spacing w:after="60"/>
            </w:pPr>
            <w:r/>
            <w:r>
              <w:rPr>
                <w:b w:val="0"/>
                <w:sz w:val="20"/>
              </w:rPr>
              <w:t>Registo da colónia no SIAC sem conteúdo definido</w:t>
            </w:r>
          </w:p>
        </w:tc>
      </w:tr>
      <w:tr>
        <w:tc>
          <w:tcPr>
            <w:tcW w:w="1247" w:type="dxa"/>
          </w:tcPr>
          <w:p>
            <w:pPr>
              <w:spacing w:after="60"/>
            </w:pPr>
            <w:r/>
            <w:r>
              <w:rPr>
                <w:b w:val="0"/>
                <w:sz w:val="20"/>
              </w:rPr>
              <w:t>C-10</w:t>
            </w:r>
          </w:p>
        </w:tc>
        <w:tc>
          <w:tcPr>
            <w:tcW w:w="1247" w:type="dxa"/>
          </w:tcPr>
          <w:p>
            <w:pPr>
              <w:spacing w:after="60"/>
            </w:pPr>
            <w:r/>
            <w:r>
              <w:rPr>
                <w:b w:val="0"/>
                <w:sz w:val="20"/>
              </w:rPr>
              <w:t>P-28</w:t>
            </w:r>
          </w:p>
        </w:tc>
        <w:tc>
          <w:tcPr>
            <w:tcW w:w="1474" w:type="dxa"/>
          </w:tcPr>
          <w:p>
            <w:pPr>
              <w:spacing w:after="60"/>
            </w:pPr>
            <w:r/>
            <w:r>
              <w:rPr>
                <w:b w:val="0"/>
                <w:sz w:val="20"/>
              </w:rPr>
              <w:t>CED-10</w:t>
            </w:r>
          </w:p>
        </w:tc>
        <w:tc>
          <w:tcPr>
            <w:tcW w:w="5102" w:type="dxa"/>
          </w:tcPr>
          <w:p>
            <w:pPr>
              <w:spacing w:after="60"/>
            </w:pPr>
            <w:r/>
            <w:r>
              <w:rPr>
                <w:b w:val="0"/>
                <w:sz w:val="20"/>
              </w:rPr>
              <w:t>Colónias em prédios privados</w:t>
            </w:r>
          </w:p>
        </w:tc>
      </w:tr>
      <w:tr>
        <w:tc>
          <w:tcPr>
            <w:tcW w:w="1247" w:type="dxa"/>
          </w:tcPr>
          <w:p>
            <w:pPr>
              <w:spacing w:after="60"/>
            </w:pPr>
            <w:r/>
            <w:r>
              <w:rPr>
                <w:b w:val="0"/>
                <w:sz w:val="20"/>
              </w:rPr>
              <w:t>C-11</w:t>
            </w:r>
          </w:p>
        </w:tc>
        <w:tc>
          <w:tcPr>
            <w:tcW w:w="1247" w:type="dxa"/>
          </w:tcPr>
          <w:p>
            <w:pPr>
              <w:spacing w:after="60"/>
            </w:pPr>
            <w:r/>
            <w:r>
              <w:rPr>
                <w:b w:val="0"/>
                <w:sz w:val="20"/>
              </w:rPr>
              <w:t>P-29</w:t>
            </w:r>
          </w:p>
        </w:tc>
        <w:tc>
          <w:tcPr>
            <w:tcW w:w="1474" w:type="dxa"/>
          </w:tcPr>
          <w:p>
            <w:pPr>
              <w:spacing w:after="60"/>
            </w:pPr>
            <w:r/>
            <w:r>
              <w:rPr>
                <w:b w:val="0"/>
                <w:sz w:val="20"/>
              </w:rPr>
              <w:t>CED-11</w:t>
            </w:r>
          </w:p>
        </w:tc>
        <w:tc>
          <w:tcPr>
            <w:tcW w:w="5102" w:type="dxa"/>
          </w:tcPr>
          <w:p>
            <w:pPr>
              <w:spacing w:after="60"/>
            </w:pPr>
            <w:r/>
            <w:r>
              <w:rPr>
                <w:b w:val="0"/>
                <w:sz w:val="20"/>
              </w:rPr>
              <w:t>CED e conservação da natureza</w:t>
            </w:r>
          </w:p>
        </w:tc>
      </w:tr>
      <w:tr>
        <w:tc>
          <w:tcPr>
            <w:tcW w:w="1247" w:type="dxa"/>
          </w:tcPr>
          <w:p>
            <w:pPr>
              <w:spacing w:after="60"/>
            </w:pPr>
            <w:r/>
            <w:r>
              <w:rPr>
                <w:b w:val="0"/>
                <w:sz w:val="20"/>
              </w:rPr>
              <w:t>C-12</w:t>
            </w:r>
          </w:p>
        </w:tc>
        <w:tc>
          <w:tcPr>
            <w:tcW w:w="1247" w:type="dxa"/>
          </w:tcPr>
          <w:p>
            <w:pPr>
              <w:spacing w:after="60"/>
            </w:pPr>
            <w:r/>
            <w:r>
              <w:rPr>
                <w:b w:val="0"/>
                <w:sz w:val="20"/>
              </w:rPr>
              <w:t>P-30</w:t>
            </w:r>
          </w:p>
        </w:tc>
        <w:tc>
          <w:tcPr>
            <w:tcW w:w="1474" w:type="dxa"/>
          </w:tcPr>
          <w:p>
            <w:pPr>
              <w:spacing w:after="60"/>
            </w:pPr>
            <w:r/>
            <w:r>
              <w:rPr>
                <w:b w:val="0"/>
                <w:sz w:val="20"/>
              </w:rPr>
              <w:t>CED-12</w:t>
            </w:r>
          </w:p>
        </w:tc>
        <w:tc>
          <w:tcPr>
            <w:tcW w:w="5102" w:type="dxa"/>
          </w:tcPr>
          <w:p>
            <w:pPr>
              <w:spacing w:after="60"/>
            </w:pPr>
            <w:r/>
            <w:r>
              <w:rPr>
                <w:b w:val="0"/>
                <w:sz w:val="20"/>
              </w:rPr>
              <w:t>Gatos de colónia em infração permanente</w:t>
            </w:r>
          </w:p>
        </w:tc>
      </w:tr>
      <w:tr>
        <w:tc>
          <w:tcPr>
            <w:tcW w:w="1247" w:type="dxa"/>
          </w:tcPr>
          <w:p>
            <w:pPr>
              <w:spacing w:after="60"/>
            </w:pPr>
            <w:r/>
            <w:r>
              <w:rPr>
                <w:b w:val="0"/>
                <w:sz w:val="20"/>
              </w:rPr>
              <w:t>C-13</w:t>
            </w:r>
          </w:p>
        </w:tc>
        <w:tc>
          <w:tcPr>
            <w:tcW w:w="1247" w:type="dxa"/>
          </w:tcPr>
          <w:p>
            <w:pPr>
              <w:spacing w:after="60"/>
            </w:pPr>
            <w:r/>
            <w:r>
              <w:rPr>
                <w:b w:val="0"/>
                <w:sz w:val="20"/>
              </w:rPr>
              <w:t>P-31</w:t>
            </w:r>
          </w:p>
        </w:tc>
        <w:tc>
          <w:tcPr>
            <w:tcW w:w="1474" w:type="dxa"/>
          </w:tcPr>
          <w:p>
            <w:pPr>
              <w:spacing w:after="60"/>
            </w:pPr>
            <w:r/>
            <w:r>
              <w:rPr>
                <w:b w:val="0"/>
                <w:sz w:val="20"/>
              </w:rPr>
              <w:t>CED-13</w:t>
            </w:r>
          </w:p>
        </w:tc>
        <w:tc>
          <w:tcPr>
            <w:tcW w:w="5102" w:type="dxa"/>
          </w:tcPr>
          <w:p>
            <w:pPr>
              <w:spacing w:after="60"/>
            </w:pPr>
            <w:r/>
            <w:r>
              <w:rPr>
                <w:b w:val="0"/>
                <w:sz w:val="20"/>
              </w:rPr>
              <w:t>Crias e gatos sociáveis: retirar ou devolver</w:t>
            </w:r>
          </w:p>
        </w:tc>
      </w:tr>
      <w:tr>
        <w:tc>
          <w:tcPr>
            <w:tcW w:w="1247" w:type="dxa"/>
          </w:tcPr>
          <w:p>
            <w:pPr>
              <w:spacing w:after="60"/>
            </w:pPr>
            <w:r/>
            <w:r>
              <w:rPr>
                <w:b w:val="0"/>
                <w:sz w:val="20"/>
              </w:rPr>
              <w:t>C-14</w:t>
            </w:r>
          </w:p>
        </w:tc>
        <w:tc>
          <w:tcPr>
            <w:tcW w:w="1247" w:type="dxa"/>
          </w:tcPr>
          <w:p>
            <w:pPr>
              <w:spacing w:after="60"/>
            </w:pPr>
            <w:r/>
            <w:r>
              <w:rPr>
                <w:b w:val="0"/>
                <w:sz w:val="20"/>
              </w:rPr>
              <w:t>P-32</w:t>
            </w:r>
          </w:p>
        </w:tc>
        <w:tc>
          <w:tcPr>
            <w:tcW w:w="1474" w:type="dxa"/>
          </w:tcPr>
          <w:p>
            <w:pPr>
              <w:spacing w:after="60"/>
            </w:pPr>
            <w:r/>
            <w:r>
              <w:rPr>
                <w:b w:val="0"/>
                <w:sz w:val="20"/>
              </w:rPr>
              <w:t>CED-14</w:t>
            </w:r>
          </w:p>
        </w:tc>
        <w:tc>
          <w:tcPr>
            <w:tcW w:w="5102" w:type="dxa"/>
          </w:tcPr>
          <w:p>
            <w:pPr>
              <w:spacing w:after="60"/>
            </w:pPr>
            <w:r/>
            <w:r>
              <w:rPr>
                <w:b w:val="0"/>
                <w:sz w:val="20"/>
              </w:rPr>
              <w:t>Suspensão do programa e recolha dos gatos sem garantias</w:t>
            </w:r>
          </w:p>
        </w:tc>
      </w:tr>
      <w:tr>
        <w:tc>
          <w:tcPr>
            <w:tcW w:w="1247" w:type="dxa"/>
          </w:tcPr>
          <w:p>
            <w:pPr>
              <w:spacing w:after="60"/>
            </w:pPr>
            <w:r/>
            <w:r>
              <w:rPr>
                <w:b w:val="0"/>
                <w:sz w:val="20"/>
              </w:rPr>
              <w:t>C-15</w:t>
            </w:r>
          </w:p>
        </w:tc>
        <w:tc>
          <w:tcPr>
            <w:tcW w:w="1247" w:type="dxa"/>
          </w:tcPr>
          <w:p>
            <w:pPr>
              <w:spacing w:after="60"/>
            </w:pPr>
            <w:r/>
            <w:r>
              <w:rPr>
                <w:b w:val="0"/>
                <w:sz w:val="20"/>
              </w:rPr>
              <w:t>P-33</w:t>
            </w:r>
          </w:p>
        </w:tc>
        <w:tc>
          <w:tcPr>
            <w:tcW w:w="1474" w:type="dxa"/>
          </w:tcPr>
          <w:p>
            <w:pPr>
              <w:spacing w:after="60"/>
            </w:pPr>
            <w:r/>
            <w:r>
              <w:rPr>
                <w:b w:val="0"/>
                <w:sz w:val="20"/>
              </w:rPr>
              <w:t>CED-15</w:t>
            </w:r>
          </w:p>
        </w:tc>
        <w:tc>
          <w:tcPr>
            <w:tcW w:w="5102" w:type="dxa"/>
          </w:tcPr>
          <w:p>
            <w:pPr>
              <w:spacing w:after="60"/>
            </w:pPr>
            <w:r/>
            <w:r>
              <w:rPr>
                <w:b w:val="0"/>
                <w:sz w:val="20"/>
              </w:rPr>
              <w:t>Meios: médicos veterinários municipais e financiamento</w:t>
            </w:r>
          </w:p>
        </w:tc>
      </w:tr>
      <w:tr>
        <w:tc>
          <w:tcPr>
            <w:tcW w:w="1247" w:type="dxa"/>
          </w:tcPr>
          <w:p>
            <w:pPr>
              <w:spacing w:after="60"/>
            </w:pPr>
            <w:r/>
            <w:r>
              <w:rPr>
                <w:b w:val="0"/>
                <w:sz w:val="20"/>
              </w:rPr>
              <w:t>C-16</w:t>
            </w:r>
          </w:p>
        </w:tc>
        <w:tc>
          <w:tcPr>
            <w:tcW w:w="1247" w:type="dxa"/>
          </w:tcPr>
          <w:p>
            <w:pPr>
              <w:spacing w:after="60"/>
            </w:pPr>
            <w:r/>
            <w:r>
              <w:rPr>
                <w:b w:val="0"/>
                <w:sz w:val="20"/>
              </w:rPr>
              <w:t>P-34</w:t>
            </w:r>
          </w:p>
        </w:tc>
        <w:tc>
          <w:tcPr>
            <w:tcW w:w="1474" w:type="dxa"/>
          </w:tcPr>
          <w:p>
            <w:pPr>
              <w:spacing w:after="60"/>
            </w:pPr>
            <w:r/>
            <w:r>
              <w:rPr>
                <w:b w:val="0"/>
                <w:sz w:val="20"/>
              </w:rPr>
              <w:t>CED-16</w:t>
            </w:r>
          </w:p>
        </w:tc>
        <w:tc>
          <w:tcPr>
            <w:tcW w:w="5102" w:type="dxa"/>
          </w:tcPr>
          <w:p>
            <w:pPr>
              <w:spacing w:after="60"/>
            </w:pPr>
            <w:r/>
            <w:r>
              <w:rPr>
                <w:b w:val="0"/>
                <w:sz w:val="20"/>
              </w:rPr>
              <w:t>Conflito com vizinhos e dimensão da colónia</w:t>
            </w:r>
          </w:p>
        </w:tc>
      </w:tr>
      <w:tr>
        <w:tc>
          <w:tcPr>
            <w:tcW w:w="1247" w:type="dxa"/>
          </w:tcPr>
          <w:p>
            <w:pPr>
              <w:spacing w:after="60"/>
            </w:pPr>
            <w:r/>
            <w:r>
              <w:rPr>
                <w:b w:val="0"/>
                <w:sz w:val="20"/>
              </w:rPr>
              <w:t>C-17</w:t>
            </w:r>
          </w:p>
        </w:tc>
        <w:tc>
          <w:tcPr>
            <w:tcW w:w="1247" w:type="dxa"/>
          </w:tcPr>
          <w:p>
            <w:pPr>
              <w:spacing w:after="60"/>
            </w:pPr>
            <w:r/>
            <w:r>
              <w:rPr>
                <w:b w:val="0"/>
                <w:sz w:val="20"/>
              </w:rPr>
              <w:t>P-35</w:t>
            </w:r>
          </w:p>
        </w:tc>
        <w:tc>
          <w:tcPr>
            <w:tcW w:w="1474" w:type="dxa"/>
          </w:tcPr>
          <w:p>
            <w:pPr>
              <w:spacing w:after="60"/>
            </w:pPr>
            <w:r/>
            <w:r>
              <w:rPr>
                <w:b w:val="0"/>
                <w:sz w:val="20"/>
              </w:rPr>
              <w:t>CED-17</w:t>
            </w:r>
          </w:p>
        </w:tc>
        <w:tc>
          <w:tcPr>
            <w:tcW w:w="5102" w:type="dxa"/>
          </w:tcPr>
          <w:p>
            <w:pPr>
              <w:spacing w:after="60"/>
            </w:pPr>
            <w:r/>
            <w:r>
              <w:rPr>
                <w:b w:val="0"/>
                <w:sz w:val="20"/>
              </w:rPr>
              <w:t>Plano municipal de controlo de errantes sem conteúdo mínimo nem consequências</w:t>
            </w:r>
          </w:p>
        </w:tc>
      </w:tr>
      <w:tr>
        <w:tc>
          <w:tcPr>
            <w:tcW w:w="1247" w:type="dxa"/>
          </w:tcPr>
          <w:p>
            <w:pPr>
              <w:spacing w:after="60"/>
            </w:pPr>
            <w:r/>
            <w:r>
              <w:rPr>
                <w:b w:val="0"/>
                <w:sz w:val="20"/>
              </w:rPr>
              <w:t>T-20</w:t>
            </w:r>
          </w:p>
        </w:tc>
        <w:tc>
          <w:tcPr>
            <w:tcW w:w="1247" w:type="dxa"/>
          </w:tcPr>
          <w:p>
            <w:pPr>
              <w:spacing w:after="60"/>
            </w:pPr>
            <w:r/>
            <w:r>
              <w:rPr>
                <w:b w:val="0"/>
                <w:sz w:val="20"/>
              </w:rPr>
              <w:t>P-37</w:t>
            </w:r>
          </w:p>
        </w:tc>
        <w:tc>
          <w:tcPr>
            <w:tcW w:w="1474" w:type="dxa"/>
          </w:tcPr>
          <w:p>
            <w:pPr>
              <w:spacing w:after="60"/>
            </w:pPr>
            <w:r/>
            <w:r>
              <w:rPr>
                <w:b w:val="0"/>
                <w:sz w:val="20"/>
              </w:rPr>
              <w:t>TIT-20</w:t>
            </w:r>
          </w:p>
        </w:tc>
        <w:tc>
          <w:tcPr>
            <w:tcW w:w="5102" w:type="dxa"/>
          </w:tcPr>
          <w:p>
            <w:pPr>
              <w:spacing w:after="60"/>
            </w:pPr>
            <w:r/>
            <w:r>
              <w:rPr>
                <w:b w:val="0"/>
                <w:sz w:val="20"/>
              </w:rPr>
              <w:t>Quem acolhe um animal errante pode ficar sem saída lícita</w:t>
            </w:r>
          </w:p>
        </w:tc>
      </w:tr>
      <w:tr>
        <w:tc>
          <w:tcPr>
            <w:tcW w:w="1247" w:type="dxa"/>
          </w:tcPr>
          <w:p>
            <w:pPr>
              <w:spacing w:after="60"/>
            </w:pPr>
            <w:r/>
            <w:r>
              <w:rPr>
                <w:b w:val="0"/>
                <w:sz w:val="20"/>
              </w:rPr>
              <w:t>C-18</w:t>
            </w:r>
          </w:p>
        </w:tc>
        <w:tc>
          <w:tcPr>
            <w:tcW w:w="1247" w:type="dxa"/>
          </w:tcPr>
          <w:p>
            <w:pPr>
              <w:spacing w:after="60"/>
            </w:pPr>
            <w:r/>
            <w:r>
              <w:rPr>
                <w:b w:val="0"/>
                <w:sz w:val="20"/>
              </w:rPr>
              <w:t>P-38</w:t>
            </w:r>
          </w:p>
        </w:tc>
        <w:tc>
          <w:tcPr>
            <w:tcW w:w="1474" w:type="dxa"/>
          </w:tcPr>
          <w:p>
            <w:pPr>
              <w:spacing w:after="60"/>
            </w:pPr>
            <w:r/>
            <w:r>
              <w:rPr>
                <w:b w:val="0"/>
                <w:sz w:val="20"/>
              </w:rPr>
              <w:t>CED-18</w:t>
            </w:r>
          </w:p>
        </w:tc>
        <w:tc>
          <w:tcPr>
            <w:tcW w:w="5102" w:type="dxa"/>
          </w:tcPr>
          <w:p>
            <w:pPr>
              <w:spacing w:after="60"/>
            </w:pPr>
            <w:r/>
            <w:r>
              <w:rPr>
                <w:b w:val="0"/>
                <w:sz w:val="20"/>
              </w:rPr>
              <w:t>A definição de animal errante passa a abranger qualquer animal não identificado</w:t>
            </w:r>
          </w:p>
        </w:tc>
      </w:tr>
      <w:tr>
        <w:tc>
          <w:tcPr>
            <w:tcW w:w="1247" w:type="dxa"/>
          </w:tcPr>
          <w:p>
            <w:pPr>
              <w:spacing w:after="60"/>
            </w:pPr>
            <w:r/>
            <w:r>
              <w:rPr>
                <w:b w:val="0"/>
                <w:sz w:val="20"/>
              </w:rPr>
              <w:t>C-19</w:t>
            </w:r>
          </w:p>
        </w:tc>
        <w:tc>
          <w:tcPr>
            <w:tcW w:w="1247" w:type="dxa"/>
          </w:tcPr>
          <w:p>
            <w:pPr>
              <w:spacing w:after="60"/>
            </w:pPr>
            <w:r/>
            <w:r>
              <w:rPr>
                <w:b w:val="0"/>
                <w:sz w:val="20"/>
              </w:rPr>
              <w:t>P-39</w:t>
            </w:r>
          </w:p>
        </w:tc>
        <w:tc>
          <w:tcPr>
            <w:tcW w:w="1474" w:type="dxa"/>
          </w:tcPr>
          <w:p>
            <w:pPr>
              <w:spacing w:after="60"/>
            </w:pPr>
            <w:r/>
            <w:r>
              <w:rPr>
                <w:b w:val="0"/>
                <w:sz w:val="20"/>
              </w:rPr>
              <w:t>CED-19</w:t>
            </w:r>
          </w:p>
        </w:tc>
        <w:tc>
          <w:tcPr>
            <w:tcW w:w="5102" w:type="dxa"/>
          </w:tcPr>
          <w:p>
            <w:pPr>
              <w:spacing w:after="60"/>
            </w:pPr>
            <w:r/>
            <w:r>
              <w:rPr>
                <w:b w:val="0"/>
                <w:sz w:val="20"/>
              </w:rPr>
              <w:t>A Lei 75/2013 ainda atribui às câmaras o abate de canídeos e gatídeos</w:t>
            </w:r>
          </w:p>
        </w:tc>
      </w:tr>
      <w:tr>
        <w:tc>
          <w:tcPr>
            <w:tcW w:w="1247" w:type="dxa"/>
          </w:tcPr>
          <w:p>
            <w:pPr>
              <w:spacing w:after="60"/>
            </w:pPr>
            <w:r/>
            <w:r>
              <w:rPr>
                <w:b w:val="0"/>
                <w:sz w:val="20"/>
              </w:rPr>
              <w:t>P-01</w:t>
            </w:r>
          </w:p>
        </w:tc>
        <w:tc>
          <w:tcPr>
            <w:tcW w:w="1247" w:type="dxa"/>
          </w:tcPr>
          <w:p>
            <w:pPr>
              <w:spacing w:after="60"/>
            </w:pPr>
            <w:r/>
            <w:r>
              <w:rPr>
                <w:b w:val="0"/>
                <w:sz w:val="20"/>
              </w:rPr>
              <w:t>P-40</w:t>
            </w:r>
          </w:p>
        </w:tc>
        <w:tc>
          <w:tcPr>
            <w:tcW w:w="1474" w:type="dxa"/>
          </w:tcPr>
          <w:p>
            <w:pPr>
              <w:spacing w:after="60"/>
            </w:pPr>
            <w:r/>
            <w:r>
              <w:rPr>
                <w:b w:val="0"/>
                <w:sz w:val="20"/>
              </w:rPr>
              <w:t>BEM-01</w:t>
            </w:r>
          </w:p>
        </w:tc>
        <w:tc>
          <w:tcPr>
            <w:tcW w:w="5102" w:type="dxa"/>
          </w:tcPr>
          <w:p>
            <w:pPr>
              <w:spacing w:after="60"/>
            </w:pPr>
            <w:r/>
            <w:r>
              <w:rPr>
                <w:b w:val="0"/>
                <w:sz w:val="20"/>
              </w:rPr>
              <w:t>A amarração no domicílio fica sem duração máxima nem requisitos verificáveis</w:t>
            </w:r>
          </w:p>
        </w:tc>
      </w:tr>
      <w:tr>
        <w:tc>
          <w:tcPr>
            <w:tcW w:w="1247" w:type="dxa"/>
          </w:tcPr>
          <w:p>
            <w:pPr>
              <w:spacing w:after="60"/>
            </w:pPr>
            <w:r/>
            <w:r>
              <w:rPr>
                <w:b w:val="0"/>
                <w:sz w:val="20"/>
              </w:rPr>
              <w:t>A-01</w:t>
            </w:r>
          </w:p>
        </w:tc>
        <w:tc>
          <w:tcPr>
            <w:tcW w:w="1247" w:type="dxa"/>
          </w:tcPr>
          <w:p>
            <w:pPr>
              <w:spacing w:after="60"/>
            </w:pPr>
            <w:r/>
            <w:r>
              <w:rPr>
                <w:b w:val="0"/>
                <w:sz w:val="20"/>
              </w:rPr>
              <w:t>P-41</w:t>
            </w:r>
          </w:p>
        </w:tc>
        <w:tc>
          <w:tcPr>
            <w:tcW w:w="1474" w:type="dxa"/>
          </w:tcPr>
          <w:p>
            <w:pPr>
              <w:spacing w:after="60"/>
            </w:pPr>
            <w:r/>
            <w:r>
              <w:rPr>
                <w:b w:val="0"/>
                <w:sz w:val="20"/>
              </w:rPr>
              <w:t>REG-01</w:t>
            </w:r>
          </w:p>
        </w:tc>
        <w:tc>
          <w:tcPr>
            <w:tcW w:w="5102" w:type="dxa"/>
          </w:tcPr>
          <w:p>
            <w:pPr>
              <w:spacing w:after="60"/>
            </w:pPr>
            <w:r/>
            <w:r>
              <w:rPr>
                <w:b w:val="0"/>
                <w:sz w:val="20"/>
              </w:rPr>
              <w:t>Duas normas diferentes sobre que espécies são animais de companhia</w:t>
            </w:r>
          </w:p>
        </w:tc>
      </w:tr>
    </w:tbl>
    <w:p>
      <w:r>
        <w:br w:type="page"/>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417"/>
        <w:gridCol w:w="6406"/>
      </w:tblGrid>
      <w:tr>
        <w:tc>
          <w:tcPr>
            <w:tcW w:w="1247" w:type="dxa"/>
          </w:tcPr>
          <w:p>
            <w:pPr>
              <w:spacing w:after="60"/>
            </w:pPr>
            <w:r/>
            <w:r>
              <w:rPr>
                <w:b/>
                <w:sz w:val="20"/>
              </w:rPr>
              <w:t>Versão</w:t>
            </w:r>
          </w:p>
        </w:tc>
        <w:tc>
          <w:tcPr>
            <w:tcW w:w="1417" w:type="dxa"/>
          </w:tcPr>
          <w:p>
            <w:pPr>
              <w:spacing w:after="60"/>
            </w:pPr>
            <w:r/>
            <w:r>
              <w:rPr>
                <w:b/>
                <w:sz w:val="20"/>
              </w:rPr>
              <w:t>Data</w:t>
            </w:r>
          </w:p>
        </w:tc>
        <w:tc>
          <w:tcPr>
            <w:tcW w:w="6406" w:type="dxa"/>
          </w:tcPr>
          <w:p>
            <w:pPr>
              <w:spacing w:after="60"/>
            </w:pPr>
            <w:r/>
            <w:r>
              <w:rPr>
                <w:b/>
                <w:sz w:val="20"/>
              </w:rPr>
              <w:t>Alterações</w:t>
            </w:r>
          </w:p>
        </w:tc>
      </w:tr>
      <w:tr>
        <w:tc>
          <w:tcPr>
            <w:tcW w:w="1247" w:type="dxa"/>
          </w:tcPr>
          <w:p>
            <w:pPr>
              <w:spacing w:after="60"/>
            </w:pPr>
            <w:r/>
            <w:r>
              <w:rPr>
                <w:b w:val="0"/>
                <w:sz w:val="20"/>
              </w:rPr>
              <w:t>1</w:t>
            </w:r>
          </w:p>
        </w:tc>
        <w:tc>
          <w:tcPr>
            <w:tcW w:w="1417" w:type="dxa"/>
          </w:tcPr>
          <w:p>
            <w:pPr>
              <w:spacing w:after="60"/>
            </w:pPr>
            <w:r/>
            <w:r>
              <w:rPr>
                <w:b w:val="0"/>
                <w:sz w:val="20"/>
              </w:rPr>
              <w:t>25.9.2026</w:t>
            </w:r>
          </w:p>
        </w:tc>
        <w:tc>
          <w:tcPr>
            <w:tcW w:w="6406" w:type="dxa"/>
          </w:tcPr>
          <w:p>
            <w:pPr>
              <w:spacing w:after="60"/>
            </w:pPr>
            <w:r/>
            <w:r>
              <w:rPr>
                <w:b w:val="0"/>
                <w:sz w:val="20"/>
              </w:rPr>
              <w:t>Primeira versão. Tema T (18 fichas) e tema C (17 fichas). Anexo B com posições de entidades externas recolhidas no repositório e online.</w:t>
            </w:r>
          </w:p>
        </w:tc>
      </w:tr>
      <w:tr>
        <w:tc>
          <w:tcPr>
            <w:tcW w:w="1247" w:type="dxa"/>
          </w:tcPr>
          <w:p>
            <w:pPr>
              <w:spacing w:after="60"/>
            </w:pPr>
            <w:r/>
            <w:r>
              <w:rPr>
                <w:b w:val="0"/>
                <w:sz w:val="20"/>
              </w:rPr>
              <w:t>1.1</w:t>
            </w:r>
          </w:p>
        </w:tc>
        <w:tc>
          <w:tcPr>
            <w:tcW w:w="1417" w:type="dxa"/>
          </w:tcPr>
          <w:p>
            <w:pPr>
              <w:spacing w:after="60"/>
            </w:pPr>
            <w:r/>
            <w:r>
              <w:rPr>
                <w:b w:val="0"/>
                <w:sz w:val="20"/>
              </w:rPr>
              <w:t>25.9.2026</w:t>
            </w:r>
          </w:p>
        </w:tc>
        <w:tc>
          <w:tcPr>
            <w:tcW w:w="6406" w:type="dxa"/>
          </w:tcPr>
          <w:p>
            <w:pPr>
              <w:spacing w:after="60"/>
            </w:pPr>
            <w:r/>
            <w:r>
              <w:rPr>
                <w:b w:val="0"/>
                <w:sz w:val="20"/>
              </w:rPr>
              <w:t>Correção de formatação: larguras fixas das colunas em todas as tabelas; anexos A e B em páginas na horizontal. Sem alterações de conteúdo.</w:t>
            </w:r>
          </w:p>
        </w:tc>
      </w:tr>
      <w:tr>
        <w:tc>
          <w:tcPr>
            <w:tcW w:w="1247" w:type="dxa"/>
          </w:tcPr>
          <w:p>
            <w:pPr>
              <w:spacing w:after="60"/>
            </w:pPr>
            <w:r/>
            <w:r>
              <w:rPr>
                <w:b w:val="0"/>
                <w:sz w:val="20"/>
              </w:rPr>
              <w:t>1.2</w:t>
            </w:r>
          </w:p>
        </w:tc>
        <w:tc>
          <w:tcPr>
            <w:tcW w:w="1417" w:type="dxa"/>
          </w:tcPr>
          <w:p>
            <w:pPr>
              <w:spacing w:after="60"/>
            </w:pPr>
            <w:r/>
            <w:r>
              <w:rPr>
                <w:b w:val="0"/>
                <w:sz w:val="20"/>
              </w:rPr>
              <w:t>25.9.2026</w:t>
            </w:r>
          </w:p>
        </w:tc>
        <w:tc>
          <w:tcPr>
            <w:tcW w:w="6406"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247" w:type="dxa"/>
          </w:tcPr>
          <w:p>
            <w:pPr>
              <w:spacing w:after="60"/>
            </w:pPr>
            <w:r/>
            <w:r>
              <w:rPr>
                <w:b w:val="0"/>
                <w:sz w:val="20"/>
              </w:rPr>
              <w:t>1.3</w:t>
            </w:r>
          </w:p>
        </w:tc>
        <w:tc>
          <w:tcPr>
            <w:tcW w:w="1417" w:type="dxa"/>
          </w:tcPr>
          <w:p>
            <w:pPr>
              <w:spacing w:after="60"/>
            </w:pPr>
            <w:r/>
            <w:r>
              <w:rPr>
                <w:b w:val="0"/>
                <w:sz w:val="20"/>
              </w:rPr>
              <w:t>25.9.2026</w:t>
            </w:r>
          </w:p>
        </w:tc>
        <w:tc>
          <w:tcPr>
            <w:tcW w:w="6406"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247" w:type="dxa"/>
          </w:tcPr>
          <w:p>
            <w:pPr>
              <w:spacing w:after="60"/>
            </w:pPr>
            <w:r/>
            <w:r>
              <w:rPr>
                <w:b w:val="0"/>
                <w:sz w:val="20"/>
              </w:rPr>
              <w:t>1.4</w:t>
            </w:r>
          </w:p>
        </w:tc>
        <w:tc>
          <w:tcPr>
            <w:tcW w:w="1417" w:type="dxa"/>
          </w:tcPr>
          <w:p>
            <w:pPr>
              <w:spacing w:after="60"/>
            </w:pPr>
            <w:r/>
            <w:r>
              <w:rPr>
                <w:b w:val="0"/>
                <w:sz w:val="20"/>
              </w:rPr>
              <w:t>25.9.2026</w:t>
            </w:r>
          </w:p>
        </w:tc>
        <w:tc>
          <w:tcPr>
            <w:tcW w:w="6406"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247" w:type="dxa"/>
          </w:tcPr>
          <w:p>
            <w:pPr>
              <w:spacing w:after="60"/>
            </w:pPr>
            <w:r/>
            <w:r>
              <w:rPr>
                <w:b w:val="0"/>
                <w:sz w:val="20"/>
              </w:rPr>
              <w:t>1.5</w:t>
            </w:r>
          </w:p>
        </w:tc>
        <w:tc>
          <w:tcPr>
            <w:tcW w:w="1417" w:type="dxa"/>
          </w:tcPr>
          <w:p>
            <w:pPr>
              <w:spacing w:after="60"/>
            </w:pPr>
            <w:r/>
            <w:r>
              <w:rPr>
                <w:b w:val="0"/>
                <w:sz w:val="20"/>
              </w:rPr>
              <w:t>27.9.2026</w:t>
            </w:r>
          </w:p>
        </w:tc>
        <w:tc>
          <w:tcPr>
            <w:tcW w:w="6406"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247" w:type="dxa"/>
          </w:tcPr>
          <w:p>
            <w:pPr>
              <w:spacing w:after="60"/>
            </w:pPr>
            <w:r/>
            <w:r>
              <w:rPr>
                <w:b w:val="0"/>
                <w:sz w:val="20"/>
              </w:rPr>
              <w:t>1.6</w:t>
            </w:r>
          </w:p>
        </w:tc>
        <w:tc>
          <w:tcPr>
            <w:tcW w:w="1417" w:type="dxa"/>
          </w:tcPr>
          <w:p>
            <w:pPr>
              <w:spacing w:after="60"/>
            </w:pPr>
            <w:r/>
            <w:r>
              <w:rPr>
                <w:b w:val="0"/>
                <w:sz w:val="20"/>
              </w:rPr>
              <w:t>27.9.2026</w:t>
            </w:r>
          </w:p>
        </w:tc>
        <w:tc>
          <w:tcPr>
            <w:tcW w:w="6406"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247" w:type="dxa"/>
          </w:tcPr>
          <w:p>
            <w:pPr>
              <w:spacing w:after="60"/>
            </w:pPr>
            <w:r/>
            <w:r>
              <w:rPr>
                <w:b w:val="0"/>
                <w:sz w:val="20"/>
              </w:rPr>
              <w:t>1.7</w:t>
            </w:r>
          </w:p>
        </w:tc>
        <w:tc>
          <w:tcPr>
            <w:tcW w:w="1417" w:type="dxa"/>
          </w:tcPr>
          <w:p>
            <w:pPr>
              <w:spacing w:after="60"/>
            </w:pPr>
            <w:r/>
            <w:r>
              <w:rPr>
                <w:b w:val="0"/>
                <w:sz w:val="20"/>
              </w:rPr>
              <w:t>27.9.2026</w:t>
            </w:r>
          </w:p>
        </w:tc>
        <w:tc>
          <w:tcPr>
            <w:tcW w:w="6406"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247" w:type="dxa"/>
          </w:tcPr>
          <w:p>
            <w:pPr>
              <w:spacing w:after="60"/>
            </w:pPr>
            <w:r/>
            <w:r>
              <w:rPr>
                <w:b w:val="0"/>
                <w:sz w:val="20"/>
              </w:rPr>
              <w:t>1.8</w:t>
            </w:r>
          </w:p>
        </w:tc>
        <w:tc>
          <w:tcPr>
            <w:tcW w:w="1417" w:type="dxa"/>
          </w:tcPr>
          <w:p>
            <w:pPr>
              <w:spacing w:after="60"/>
            </w:pPr>
            <w:r/>
            <w:r>
              <w:rPr>
                <w:b w:val="0"/>
                <w:sz w:val="20"/>
              </w:rPr>
              <w:t>27.9.2026</w:t>
            </w:r>
          </w:p>
        </w:tc>
        <w:tc>
          <w:tcPr>
            <w:tcW w:w="6406"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247" w:type="dxa"/>
          </w:tcPr>
          <w:p>
            <w:pPr>
              <w:spacing w:after="60"/>
            </w:pPr>
            <w:r/>
            <w:r>
              <w:rPr>
                <w:b w:val="0"/>
                <w:sz w:val="20"/>
              </w:rPr>
              <w:t>1.9</w:t>
            </w:r>
          </w:p>
        </w:tc>
        <w:tc>
          <w:tcPr>
            <w:tcW w:w="1417" w:type="dxa"/>
          </w:tcPr>
          <w:p>
            <w:pPr>
              <w:spacing w:after="60"/>
            </w:pPr>
            <w:r/>
            <w:r>
              <w:rPr>
                <w:b w:val="0"/>
                <w:sz w:val="20"/>
              </w:rPr>
              <w:t>2.10.2026</w:t>
            </w:r>
          </w:p>
        </w:tc>
        <w:tc>
          <w:tcPr>
            <w:tcW w:w="6406"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247" w:type="dxa"/>
          </w:tcPr>
          <w:p>
            <w:pPr>
              <w:spacing w:after="60"/>
            </w:pPr>
            <w:r/>
            <w:r>
              <w:rPr>
                <w:b w:val="0"/>
                <w:sz w:val="20"/>
              </w:rPr>
              <w:t>1.10</w:t>
            </w:r>
          </w:p>
        </w:tc>
        <w:tc>
          <w:tcPr>
            <w:tcW w:w="1417" w:type="dxa"/>
          </w:tcPr>
          <w:p>
            <w:pPr>
              <w:spacing w:after="60"/>
            </w:pPr>
            <w:r/>
            <w:r>
              <w:rPr>
                <w:b w:val="0"/>
                <w:sz w:val="20"/>
              </w:rPr>
              <w:t>8.10.2026</w:t>
            </w:r>
          </w:p>
        </w:tc>
        <w:tc>
          <w:tcPr>
            <w:tcW w:w="6406"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247" w:type="dxa"/>
          </w:tcPr>
          <w:p>
            <w:pPr>
              <w:spacing w:after="60"/>
            </w:pPr>
            <w:r/>
            <w:r>
              <w:rPr>
                <w:b w:val="0"/>
                <w:sz w:val="20"/>
              </w:rPr>
              <w:t>1.11</w:t>
            </w:r>
          </w:p>
        </w:tc>
        <w:tc>
          <w:tcPr>
            <w:tcW w:w="1417" w:type="dxa"/>
          </w:tcPr>
          <w:p>
            <w:pPr>
              <w:spacing w:after="60"/>
            </w:pPr>
            <w:r/>
            <w:r>
              <w:rPr>
                <w:b w:val="0"/>
                <w:sz w:val="20"/>
              </w:rPr>
              <w:t>8.10.2026</w:t>
            </w:r>
          </w:p>
        </w:tc>
        <w:tc>
          <w:tcPr>
            <w:tcW w:w="6406"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247" w:type="dxa"/>
          </w:tcPr>
          <w:p>
            <w:pPr>
              <w:spacing w:after="60"/>
            </w:pPr>
            <w:r/>
            <w:r>
              <w:rPr>
                <w:b w:val="0"/>
                <w:sz w:val="20"/>
              </w:rPr>
              <w:t>1.12</w:t>
            </w:r>
          </w:p>
        </w:tc>
        <w:tc>
          <w:tcPr>
            <w:tcW w:w="1417" w:type="dxa"/>
          </w:tcPr>
          <w:p>
            <w:pPr>
              <w:spacing w:after="60"/>
            </w:pPr>
            <w:r/>
            <w:r>
              <w:rPr>
                <w:b w:val="0"/>
                <w:sz w:val="20"/>
              </w:rPr>
              <w:t>9.10.2026</w:t>
            </w:r>
          </w:p>
        </w:tc>
        <w:tc>
          <w:tcPr>
            <w:tcW w:w="6406"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247" w:type="dxa"/>
          </w:tcPr>
          <w:p>
            <w:pPr>
              <w:spacing w:after="60"/>
            </w:pPr>
            <w:r/>
            <w:r>
              <w:rPr>
                <w:b w:val="0"/>
                <w:sz w:val="20"/>
              </w:rPr>
              <w:t>1.13</w:t>
            </w:r>
          </w:p>
        </w:tc>
        <w:tc>
          <w:tcPr>
            <w:tcW w:w="1417" w:type="dxa"/>
          </w:tcPr>
          <w:p>
            <w:pPr>
              <w:spacing w:after="60"/>
            </w:pPr>
            <w:r/>
            <w:r>
              <w:rPr>
                <w:b w:val="0"/>
                <w:sz w:val="20"/>
              </w:rPr>
              <w:t>9.10.2026</w:t>
            </w:r>
          </w:p>
        </w:tc>
        <w:tc>
          <w:tcPr>
            <w:tcW w:w="6406"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247" w:type="dxa"/>
          </w:tcPr>
          <w:p>
            <w:pPr>
              <w:spacing w:after="60"/>
            </w:pPr>
            <w:r/>
            <w:r>
              <w:rPr>
                <w:b w:val="0"/>
                <w:sz w:val="20"/>
              </w:rPr>
              <w:t>3.0 (ensaio)</w:t>
            </w:r>
          </w:p>
        </w:tc>
        <w:tc>
          <w:tcPr>
            <w:tcW w:w="1417" w:type="dxa"/>
          </w:tcPr>
          <w:p>
            <w:pPr>
              <w:spacing w:after="60"/>
            </w:pPr>
            <w:r/>
            <w:r>
              <w:rPr>
                <w:b w:val="0"/>
                <w:sz w:val="20"/>
              </w:rPr>
              <w:t>27.9.2026</w:t>
            </w:r>
          </w:p>
        </w:tc>
        <w:tc>
          <w:tcPr>
            <w:tcW w:w="6406" w:type="dxa"/>
          </w:tcPr>
          <w:p>
            <w:pPr>
              <w:spacing w:after="60"/>
            </w:pPr>
            <w:r/>
            <w:r>
              <w:rPr>
                <w:b w:val="0"/>
                <w:sz w:val="20"/>
              </w:rPr>
              <w:t>Ensaio da opção B, a partir do ensaio 2.0: o código permanente passa a ser a sigla do tema principal e um número dentro do tema (TIT-01 a TIT-18, CED-01 a CED-17). Localização pela epígrafe, ordem do RGAC e etiquetas mantêm-se como no ensaio 2.0.</w:t>
            </w:r>
          </w:p>
        </w:tc>
      </w:tr>
      <w:tr>
        <w:tc>
          <w:tcPr>
            <w:tcW w:w="1247" w:type="dxa"/>
          </w:tcPr>
          <w:p>
            <w:pPr>
              <w:spacing w:after="60"/>
            </w:pPr>
            <w:r/>
            <w:r>
              <w:rPr>
                <w:b w:val="0"/>
                <w:sz w:val="20"/>
              </w:rPr>
              <w:t>2.0 (ensaio)</w:t>
            </w:r>
          </w:p>
        </w:tc>
        <w:tc>
          <w:tcPr>
            <w:tcW w:w="1417" w:type="dxa"/>
          </w:tcPr>
          <w:p>
            <w:pPr>
              <w:spacing w:after="60"/>
            </w:pPr>
            <w:r/>
            <w:r>
              <w:rPr>
                <w:b w:val="0"/>
                <w:sz w:val="20"/>
              </w:rPr>
              <w:t>27.9.2026</w:t>
            </w:r>
          </w:p>
        </w:tc>
        <w:tc>
          <w:tcPr>
            <w:tcW w:w="6406" w:type="dxa"/>
          </w:tcPr>
          <w:p>
            <w:pPr>
              <w:spacing w:after="60"/>
            </w:pPr>
            <w:r/>
            <w:r>
              <w:rPr>
                <w:b w:val="0"/>
                <w:sz w:val="20"/>
              </w:rPr>
              <w:t>Ensaio da opção A: códigos permanentes TIT-01 a CED-17 (correspondência no Anexo F); fichas presas aos artigos pela epígrafe, com numeração calculada a partir da versão atual do RGAC; memorando ordenado por capítulo e artigo; temas como etiquetas (Anexo E). Conteúdo das fichas igual ao da versão 1.7.</w:t>
            </w:r>
          </w:p>
        </w:tc>
      </w:tr>
    </w:tbl>
    <w:p>
      <w:pPr>
        <w:pStyle w:val="Heading1"/>
      </w:pPr>
      <w:r>
        <w:rPr>
          <w:i w:val="0"/>
          <w:color w:val="000000"/>
        </w:rPr>
        <w:t>Bibliografia</w:t>
      </w:r>
    </w:p>
    <w:p>
      <w:r>
        <w:rPr>
          <w:b w:val="0"/>
          <w:i w:val="0"/>
        </w:rPr>
        <w:t>Todas as ligações foram verificadas em 27.9.2026.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18">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19">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0">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1">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2">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3">
        <w:r>
          <w:rPr>
            <w:u w:val="single"/>
          </w:rPr>
          <w:t xml:space="preserve">https://files.diariodarepublica.pt/gratuitos/2s/2023/03/2S061A0000S00.pdf</w:t>
        </w:r>
      </w:hyperlink>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24">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25">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26">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pStyle w:val="Heading2"/>
      </w:pPr>
      <w:r>
        <w:rPr>
          <w:i w:val="0"/>
          <w:color w:val="000000"/>
        </w:rPr>
        <w:t>Documentos oficiais, estratégias e relatórios</w:t>
      </w:r>
    </w:p>
    <w:p>
      <w:pPr>
        <w:spacing w:after="80"/>
        <w:ind w:left="454" w:hanging="454"/>
      </w:pPr>
      <w:r>
        <w:rPr>
          <w:b w:val="0"/>
          <w:i w:val="0"/>
        </w:rPr>
        <w:t xml:space="preserve">ICNF (2023). Estratégia Nacional para os Animais Errantes (ENAE), versão submetida a consulta pública. </w:t>
      </w:r>
      <w:hyperlink r:id="rId27">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28">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29">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30">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31">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32">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33">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34">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35">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pStyle w:val="Heading2"/>
      </w:pPr>
      <w:r>
        <w:rPr>
          <w:i w:val="0"/>
          <w:color w:val="000000"/>
        </w:rPr>
        <w:t>Pareceres de ordens, associações e ONG</w:t>
      </w:r>
    </w:p>
    <w:p>
      <w:pPr>
        <w:spacing w:after="80"/>
        <w:ind w:left="454" w:hanging="454"/>
      </w:pPr>
      <w:r>
        <w:rPr>
          <w:b w:val="0"/>
          <w:i w:val="0"/>
        </w:rPr>
        <w:t xml:space="preserve">Ordem dos Médicos Veterinários (2015). Parecer sobre o abandono de animais em centros de atendimento médico-veterinário, novembro de 2015. </w:t>
      </w:r>
      <w:hyperlink r:id="rId36">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37">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38">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39">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40">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41">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42">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43">
        <w:r>
          <w:rPr>
            <w:u w:val="single"/>
          </w:rPr>
          <w:t xml:space="preserve">https://matilhascoimbra.pt/pages/projecto-2</w:t>
        </w:r>
      </w:hyperlink>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44">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45">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46">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47">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48">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49">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50">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51">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52">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53">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54">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55">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56">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57">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58">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59">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60">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61">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62">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63">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64">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65">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66">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67">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68">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3.0 (ensaio), com o conteúdo da versão 1.13.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eur-lex.europa.eu/eli/reg/2026/1818/oj/por" TargetMode="External"/><Relationship Id="rId19" Type="http://schemas.openxmlformats.org/officeDocument/2006/relationships/hyperlink" Target="https://files.dre.pt/2s/2023/01/016000000/0033100335.pdf" TargetMode="External"/><Relationship Id="rId20" Type="http://schemas.openxmlformats.org/officeDocument/2006/relationships/hyperlink" Target="https://www.cm-moita.pt/cmmoita/uploads/writer_file/document/9889/regulamento_cuidador_informal.pdf" TargetMode="External"/><Relationship Id="rId21" Type="http://schemas.openxmlformats.org/officeDocument/2006/relationships/hyperlink" Target="https://www.pgdlisboa.pt/leis/lei_mostra_articulado.php?nid=1990&amp;tabela=leis" TargetMode="External"/><Relationship Id="rId22" Type="http://schemas.openxmlformats.org/officeDocument/2006/relationships/hyperlink" Target="https://www.mun-setubal.pt/wp-content/uploads/2020/07/RSBEAMS-2020.pdf" TargetMode="External"/><Relationship Id="rId23" Type="http://schemas.openxmlformats.org/officeDocument/2006/relationships/hyperlink" Target="https://files.diariodarepublica.pt/gratuitos/2s/2023/03/2S061A0000S00.pdf" TargetMode="External"/><Relationship Id="rId24" Type="http://schemas.openxmlformats.org/officeDocument/2006/relationships/hyperlink" Target="https://anmp.pt/file-viewer/?pstid=41508" TargetMode="External"/><Relationship Id="rId25"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26"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27" Type="http://schemas.openxmlformats.org/officeDocument/2006/relationships/hyperlink" Target="https://www.icnf.pt/api/file/doc/41f8f44aee23be1a" TargetMode="External"/><Relationship Id="rId28" Type="http://schemas.openxmlformats.org/officeDocument/2006/relationships/hyperlink" Target="https://www.dgav.pt/wp-content/uploads/2021/08/Relatorio-FINAL-avaliacao-da-implementacao-da-Lei-27-2016.pdf" TargetMode="External"/><Relationship Id="rId29" Type="http://schemas.openxmlformats.org/officeDocument/2006/relationships/hyperlink" Target="https://www.provedor-jus.pt/documentos/082A_96.pdf" TargetMode="External"/><Relationship Id="rId30" Type="http://schemas.openxmlformats.org/officeDocument/2006/relationships/hyperlink" Target="https://www.provedor-jus.pt/documentos/canideos-captura-alojamento-e-abate/" TargetMode="External"/><Relationship Id="rId31" Type="http://schemas.openxmlformats.org/officeDocument/2006/relationships/hyperlink" Target="https://www.provedor-jus.pt/documentos/ambiente-salubridade-habitacao-acumulacao-de-residuos-saude-mental-sindrome-de-diogenes-004-a-2013/" TargetMode="External"/><Relationship Id="rId32" Type="http://schemas.openxmlformats.org/officeDocument/2006/relationships/hyperlink" Target="https://www.provedor-jus.pt/documentos/Relat2020%20_Relatorio.pdf" TargetMode="External"/><Relationship Id="rId33" Type="http://schemas.openxmlformats.org/officeDocument/2006/relationships/hyperlink" Target="https://www.provedor-jus.pt/documentos/Relatorio%202023.pdf" TargetMode="External"/><Relationship Id="rId34" Type="http://schemas.openxmlformats.org/officeDocument/2006/relationships/hyperlink" Target="https://food.ec.europa.eu/document/download/caf8cd1d-967a-4e60-a0e5-19401be1c6b3_en?filename=aw_awp_leg_dog-cat_swd-2024-88.pdf" TargetMode="External"/><Relationship Id="rId35" Type="http://schemas.openxmlformats.org/officeDocument/2006/relationships/hyperlink" Target="https://www.woah.org/fileadmin/Home/eng/Health_standards/tahc/2023/chapitre_aw_stray_dog.pdf" TargetMode="External"/><Relationship Id="rId36" Type="http://schemas.openxmlformats.org/officeDocument/2006/relationships/hyperlink" Target="https://www.omv.pt/dmdocuments/vi_formacao_omv/abandono_animais_camv_ultimoparecer_nov2015.pdf" TargetMode="External"/><Relationship Id="rId37"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38" Type="http://schemas.openxmlformats.org/officeDocument/2006/relationships/hyperlink" Target="https://apmveac.pt/wp-content/uploads/2021/04/Legislacao.Animais.Companhia_09-04-2021-amarelo-final-.pdf" TargetMode="External"/><Relationship Id="rId39" Type="http://schemas.openxmlformats.org/officeDocument/2006/relationships/hyperlink" Target="https://apmveac.pt/wp-content/uploads/2023/09/Parecer-APMVEAC-Consulta-Publica-ENAE.pdf" TargetMode="External"/><Relationship Id="rId40" Type="http://schemas.openxmlformats.org/officeDocument/2006/relationships/hyperlink" Target="https://www.arpa-associacao.pt/media/attachments/2022/12/14/parecer-arpa-versAo-4-final.pdf" TargetMode="External"/><Relationship Id="rId41" Type="http://schemas.openxmlformats.org/officeDocument/2006/relationships/hyperlink" Target="https://www.spea.pt/wp-content/uploads/2020/09/ParecerSPEA_Planos-Gestao-Parques-Naturais-Ilha-2020.pdf" TargetMode="External"/><Relationship Id="rId42" Type="http://schemas.openxmlformats.org/officeDocument/2006/relationships/hyperlink" Target="https://spea.pt/um-gato-feliz-e-alimentado-mantem-o-passarinho-afastado/" TargetMode="External"/><Relationship Id="rId43" Type="http://schemas.openxmlformats.org/officeDocument/2006/relationships/hyperlink" Target="https://matilhascoimbra.pt/pages/projecto-2" TargetMode="External"/><Relationship Id="rId44" Type="http://schemas.openxmlformats.org/officeDocument/2006/relationships/hyperlink" Target="https://www.pan.com.pt/pan-destaca-vitorias-no-bem-estar-animal-mas-denuncia-retrocesso-grave-no-orcamento-do-estado-para-2026/" TargetMode="External"/><Relationship Id="rId45" Type="http://schemas.openxmlformats.org/officeDocument/2006/relationships/hyperlink" Target="https://www.pcp.pt/solucao-prevencao-pela-esterilizacao-rede-publica-de-veterinarios-nao-abate-de-animais-abandonados" TargetMode="External"/><Relationship Id="rId46" Type="http://schemas.openxmlformats.org/officeDocument/2006/relationships/hyperlink" Target="https://www.pcp.pt/campanha-nacional-de-esterilizacao-de-animais-errantes-0" TargetMode="External"/><Relationship Id="rId47" Type="http://schemas.openxmlformats.org/officeDocument/2006/relationships/hyperlink" Target="https://programa.partidolivre.pt/propostas/N.13/" TargetMode="External"/><Relationship Id="rId48" Type="http://schemas.openxmlformats.org/officeDocument/2006/relationships/hyperlink" Target="https://maratonapelosanimais.pt/wp-content/uploads/2024/03/respostas-completas.pdf" TargetMode="External"/><Relationship Id="rId49" Type="http://schemas.openxmlformats.org/officeDocument/2006/relationships/hyperlink" Target="https://www.cidp.pt/revistas/rjlb/2019/2/2019_02_0077_0095.pdf" TargetMode="External"/><Relationship Id="rId50" Type="http://schemas.openxmlformats.org/officeDocument/2006/relationships/hyperlink" Target="https://www.cidp.pt/revistas/rjlb/2019/2/2019_02_0305_0348.pdf" TargetMode="External"/><Relationship Id="rId51" Type="http://schemas.openxmlformats.org/officeDocument/2006/relationships/hyperlink" Target="https://cej.justica.gov.pt/LinkClick.aspx?fileticket=VpuQj7jZ-us%3D&amp;portalid=30" TargetMode="External"/><Relationship Id="rId52" Type="http://schemas.openxmlformats.org/officeDocument/2006/relationships/hyperlink" Target="https://jurisprudencia.pt/acordao/76412/" TargetMode="External"/><Relationship Id="rId53" Type="http://schemas.openxmlformats.org/officeDocument/2006/relationships/hyperlink" Target="https://trc.pt/responsabilidade-civil-danos-causados-por-animais-dever-de-vigilancia/" TargetMode="External"/><Relationship Id="rId54" Type="http://schemas.openxmlformats.org/officeDocument/2006/relationships/hyperlink" Target="https://jurisprudencia.pt/acordao/128487/" TargetMode="External"/><Relationship Id="rId55" Type="http://schemas.openxmlformats.org/officeDocument/2006/relationships/hyperlink" Target="https://www.tribunalconstitucional.pt/tc/acordaos/20210867.html" TargetMode="External"/><Relationship Id="rId56" Type="http://schemas.openxmlformats.org/officeDocument/2006/relationships/hyperlink" Target="https://www.tribunalconstitucional.pt/tc/acordaos/20240070.html" TargetMode="External"/><Relationship Id="rId57" Type="http://schemas.openxmlformats.org/officeDocument/2006/relationships/hyperlink" Target="https://jurisprudencia.pt/acordao/221373/" TargetMode="External"/><Relationship Id="rId58" Type="http://schemas.openxmlformats.org/officeDocument/2006/relationships/hyperlink" Target="https://www.tribunalconstitucional.pt/tc/acordaos/20240478.html" TargetMode="External"/><Relationship Id="rId59" Type="http://schemas.openxmlformats.org/officeDocument/2006/relationships/hyperlink" Target="https://www.dgsi.pt/jtrl.nsf/33182fc732316039802565fa00497eec/7462ba7a0546bac680258c8b0049a31e?OpenDocument" TargetMode="External"/><Relationship Id="rId60" Type="http://schemas.openxmlformats.org/officeDocument/2006/relationships/hyperlink" Target="https://www.dgsi.pt/jtrp.nsf/56a6e7121657f91e80257cda00381fdf/703e8b815ea39ece80258b34004b8157" TargetMode="External"/><Relationship Id="rId61" Type="http://schemas.openxmlformats.org/officeDocument/2006/relationships/hyperlink" Target="https://www.nature.com/articles/ncomms2380" TargetMode="External"/><Relationship Id="rId62" Type="http://schemas.openxmlformats.org/officeDocument/2006/relationships/hyperlink" Target="https://doi.org/10.2460/javma.2005.227.1775" TargetMode="External"/><Relationship Id="rId63" Type="http://schemas.openxmlformats.org/officeDocument/2006/relationships/hyperlink" Target="https://www.frontiersin.org/journals/veterinary-science/articles/10.3389/fvets.2019.00238/full" TargetMode="External"/><Relationship Id="rId64" Type="http://schemas.openxmlformats.org/officeDocument/2006/relationships/hyperlink" Target="https://www.frontiersin.org/journals/veterinary-science/articles/10.3389/fvets.2019.00077/full" TargetMode="External"/><Relationship Id="rId65" Type="http://schemas.openxmlformats.org/officeDocument/2006/relationships/hyperlink" Target="https://doi.org/10.1093/jel/eqz035" TargetMode="External"/><Relationship Id="rId66" Type="http://schemas.openxmlformats.org/officeDocument/2006/relationships/hyperlink" Target="https://pmc.ncbi.nlm.nih.gov/articles/PMC9169806/" TargetMode="External"/><Relationship Id="rId67" Type="http://schemas.openxmlformats.org/officeDocument/2006/relationships/hyperlink" Target="https://pmc.ncbi.nlm.nih.gov/articles/PMC11939513/" TargetMode="External"/><Relationship Id="rId68" Type="http://schemas.openxmlformats.org/officeDocument/2006/relationships/hyperlink" Target="https://dspace.uevora.pt/rdpc/bitstream/10174/38522/1/Gal%C3%A3o%20et%20al_2025_When%20pets%20go%20wild.pdf" TargetMode="External"/><Relationship Id="rId6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