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Notas de apoio à atividade ministerial</w:t>
      </w:r>
    </w:p>
    <w:p>
      <w:r>
        <w:rPr>
          <w:b/>
          <w:color w:val="000000"/>
          <w:sz w:val="28"/>
        </w:rPr>
        <w:t>Nota mensal de temas em destaque — outubro de 2026</w:t>
      </w:r>
    </w:p>
    <w:p/>
    <w:p>
      <w:pPr>
        <w:spacing w:before="240" w:after="120"/>
      </w:pPr>
      <w:r>
        <w:rPr>
          <w:b/>
          <w:color w:val="000000"/>
          <w:sz w:val="24"/>
        </w:rPr>
        <w:t>Regime Geral do Animal de Companhia (RGAC)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70"/>
        <w:gridCol w:w="6134"/>
      </w:tblGrid>
      <w:tr>
        <w:tc>
          <w:tcPr>
            <w:tcW w:type="dxa" w:w="2370"/>
            <w:shd w:val="clear" w:color="auto" w:fill="D9D9D9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Pontos sensíveis /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Linha defensiva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O prazo. O trabalho decorre desde julho de 2025 e a primeira versão consolidada foi remetida a 30 de junho de 2026. Linha defensiva: não se trata de compilação, mas de substituição de mais de duas dezenas de diplomas de épocas diferentes, com remissões cruzadas, feita em simultâneo com a execução dos avisos de apoio. A primeira versão existe, está entregue e tem revisão jurídica formal feita.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espera pelo Regulamento europeu. Pode ser invocado que se aguardou pelo texto europeu em vez de legislar. Linha defensiva: o Regulamento é de aplicação direta e altera matérias estruturantes — criação e reprodução, detenção responsável, funcionamento dos alojamentos e formação. Legislar antes do texto final obrigaria a rever o diploma logo a seguir. O trabalho de correspondência entre o projeto nacional e o texto europeu foi feito em paralelo e não parado.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sobrelotação dos centros de recolha oficial e dos alojamentos. Linha defensiva: é o problema que o RGAC visa atacar na raiz, pela detenção responsável e pela esterilização, e não apenas pela capacidade instalada. A resposta de capacidade corre pelos avisos de apoio, que estão em execução.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regime sancionatório. Haverá pressão em dois sentidos opostos — agravar as molduras e, do lado dos operadores, atenuar a carga. Linha defensiva: o critério é a exequibilidade. Uma sanção inaplicável ou que prescreva não protege nenhum animal.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lista positiva de animais de companhia. Matéria sensível junto dos operadores e dos detentores de espécies não tradicionais. Linha defensiva: o RGAC não fixa a lista; cria a habilitação normativa para a instituir, com base em evidência científica a levantar, acompanhando a tendência europeia.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articulação com os municípios. Linha defensiva: a repartição de competências é matéria a clarificar no diploma, e é precisamente uma das fragilidades que motivam a revisão.</w:t>
            </w:r>
          </w:p>
        </w:tc>
      </w:tr>
      <w:tr>
        <w:tc>
          <w:tcPr>
            <w:tcW w:type="dxa" w:w="2370"/>
            <w:shd w:val="clear" w:color="auto" w:fill="D9D9D9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Contexto e caracterização do setor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A legislação atual respeitante a animais de companhia encontra-se muito dispersa e, em alguns pontos, desatualizada.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realidade atual enfrenta diversos desafios: o número de animais errantes, a sobrelotação dos alojamentos, designadamente dos centros de recolha oficial e das instalações de alojamento zoófilo, a sensibilização para a detenção responsável, com foco na promoção da esterilização e na prevenção do abandono, e a necessidade de reforço da fiscalização.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consolidação normativa abrangerá toda a legislação em vigor, em correspondência com o Regulamento (UE) 2026/1818.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Regulamento (UE) 2026/1818 tem 7 capítulos, 33 artigos e 3 anexos. Entrou em vigor no vigésimo dia seguinte ao da publicação e é aplicável a partir de 31 de agosto de 2028, com datas diferidas fixadas no seu artigo 33.º, que vão de 31 de agosto de 2029 a 1 de julho de 2036 consoante a obrigação. Esta calendarização condiciona o faseamento que o RGAC tem de prever.</w:t>
            </w:r>
          </w:p>
        </w:tc>
      </w:tr>
    </w:tbl>
    <w:p>
      <w:pPr>
        <w:spacing w:before="160"/>
      </w:pPr>
      <w:r>
        <w:rPr>
          <w:b/>
          <w:color w:val="000000"/>
          <w:sz w:val="22"/>
        </w:rPr>
        <w:t>Medidas já tomadas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Elaboração da proposta de revisão da legislação de bem-estar, identificação e saúde dos animais de companhia, assente na análise sistemática de mais de duas dezenas de diplomas conexos.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Correspondência entre o Regulamento (UE) 2026/1818 e os diplomas nacionais vigentes, incluindo os projetos preexistentes, designadamente o Código do Animal de Companhia e a proposta de Regime Geral do Bem-Estar dos Animais de Companhia, apresentada em 2024 e 2025.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A 30 de junho de 2026 foi remetida à Secretaria de Estado a primeira versão do RGAC, elaborada pela DGAV. O documento resultou de trabalho técnico desenvolvido por uma equipa multidisciplinar e assentou na análise e consolidação da legislação nacional em vigor, de propostas legislativas anteriores e do texto europeu então em preparação.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Foram considerados os contributos recebidos de entidades externas, designadamente da ANVETEM, da Ordem dos Médicos Veterinários e do Sindicato Nacional dos Médicos Veterinários. Não foram recebidos contributos da FEDRA nem do CPC.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A versão remetida foi objeto de primeira revisão jurídica formal, incidente sobre a estrutura do diploma, a revisão parcial do articulado, a elaboração do regime contraordenacional e a proposta de preâmbulo.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O documento carece ainda de revisão jurídica global, designadamente quanto às remissões internas do articulado e aos anexos de natureza técnica, bem como da validação de aspetos identificados durante a revisão efetuada.</w:t>
      </w:r>
    </w:p>
    <w:p>
      <w:pPr>
        <w:pStyle w:val="ListBullet"/>
        <w:spacing w:after="80"/>
        <w:jc w:val="both"/>
      </w:pPr>
      <w:r>
        <w:rPr>
          <w:color w:val="000000"/>
          <w:sz w:val="22"/>
        </w:rPr>
        <w:t>Sem prejuízo destes aspetos, o documento constitui base sólida para apreciação superior, refletindo uma proposta integrada que visa reunir, num único diploma, o regime aplicável ao bem-estar, à saúde e à identificação dos animais de companhia.</w:t>
      </w:r>
    </w:p>
    <w:sectPr w:rsidR="00FC693F" w:rsidRPr="0006063C" w:rsidSect="00034616">
      <w:pgSz w:w="11906" w:h="16838"/>
      <w:pgMar w:top="2409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