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os animais errantes de todas as espécies, deixamos o que esta área tem a oferecer em concreto.</w:t>
      </w:r>
    </w:p>
    <w:p>
      <w:r>
        <w:t>A base legal não é obstáculo. A Lei n.º 27/2016 cria uma rede de «centros de recolha oficial de animais», sem restrição de espécie. A limitação ao cão, ao gato e ao furão foi introduzida pelo artigo 2.º da Portaria n.º 146/2017, por remissão para a Parte A do Anexo I do Regulamento (UE) 2016/429. Sendo matéria de portaria, o âmbito pode ser ajustado sem alteração legislativa.</w:t>
      </w:r>
    </w:p>
    <w:p>
      <w:r>
        <w:t>A solução física também não é nova. Desde o Despacho n.º 3321/2018 até ao Aviso n.º 1/2025, um compartimento para outras espécies foi requisito mínimo de construção de um CRO municipal e item financiado, com apoio que evoluiu de 1.300 € para 1 537,02 € por três metros quadrados. Manteve-se oito anos, primeiro sob o ICNF e depois sob a DGAV. Não consta do Aviso n.º 1/2026 e pode ser reposto por via administrativa.</w:t>
      </w:r>
    </w:p>
    <w:p>
      <w:r>
        <w:t>E a prática já existe. O Relatório de Atividades dos CRO de 2025 refere que «alguns CRO têm ações realizadas com outras espécies», dados que não foram considerados para os totais.</w:t>
      </w:r>
    </w:p>
    <w:p>
      <w:r>
        <w:t>No plano comparado, os Países Baixos e a Bélgica consagram um dever de recolha redigido para «um animal», qualquer que seja a espécie. A Lei Regional da Calábria n.º 45/2023 admite a instalação única com estruturas «separadas, física e funcionalmente» e serviços comuns. O código de boas práticas galês de 2020 é o único que fixa requisitos técnicos para instalações municipais multiespécie.</w:t>
      </w:r>
    </w:p>
    <w:p>
      <w:r>
        <w:t>A advertência vem da Irlanda, onde a instalação multiespécie existe por lei desde 1935 mas o poder de fixar padrões técnicos nunca foi exercido: a revisão governamental de 2017 concluiu que essas instalações estão «inadequately regulated». É aqui que o contributo desta área se torna indispensável — não na figura, mas na norma técnica: separação por espécie, quarentena, biossegurança e lotação em função dos recursos.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qualquer destes pontos.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