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1.39</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P-57. Nada diz quem decide se um cão é cruzamento de raça potencialmente perigosa, com que critério, nem como se contesta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P-57.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P-49</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P-57</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(15)</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(10)</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(6)</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(6)</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D-06</w:t>
            </w:r>
          </w:p>
        </w:tc>
        <w:tc>
          <w:tcPr>
            <w:tcW w:w="1417" w:type="dxa"/>
          </w:tcPr>
          <w:p>
            <w:pPr>
              <w:spacing w:after="60"/>
            </w:pPr>
            <w:r/>
            <w:r>
              <w:rPr>
                <w:b w:val="0"/>
                <w:sz w:val="20"/>
              </w:rPr>
              <w:t>P-57</w:t>
            </w:r>
          </w:p>
        </w:tc>
        <w:tc>
          <w:tcPr>
            <w:tcW w:w="6236" w:type="dxa"/>
          </w:tcPr>
          <w:p>
            <w:pPr>
              <w:spacing w:after="60"/>
            </w:pPr>
            <w:r/>
            <w:r>
              <w:rPr>
                <w:b w:val="0"/>
                <w:sz w:val="20"/>
              </w:rPr>
              <w:t>Nada diz quem decide se um cão é cruzamento de raça potencialmente perigosa, com que critério, nem como se contesta</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