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93" w:lineRule="auto"/>
      </w:pPr>
      <w:r>
        <w:rPr>
          <w:rFonts w:ascii="Aptos" w:hAnsi="Aptos" w:cs="Aptos" w:eastAsia="Aptos"/>
          <w:b/>
          <w:i w:val="0"/>
          <w:color w:val="5C7891"/>
          <w:spacing w:val="50"/>
          <w:sz w:val="17"/>
        </w:rPr>
        <w:t>MEMORANDO TÉCNICO</w:t>
      </w:r>
    </w:p>
    <w:p>
      <w:pPr>
        <w:spacing w:before="0" w:after="40" w:line="293" w:lineRule="auto"/>
      </w:pPr>
      <w:r>
        <w:rPr>
          <w:rFonts w:ascii="Aptos" w:hAnsi="Aptos" w:cs="Aptos" w:eastAsia="Aptos"/>
          <w:b/>
          <w:i w:val="0"/>
          <w:color w:val="35506B"/>
          <w:sz w:val="42"/>
        </w:rPr>
        <w:t>Criação de cães e gatos em pequena escala</w:t>
      </w:r>
    </w:p>
    <w:p>
      <w:pPr>
        <w:spacing w:before="0" w:after="200" w:line="293" w:lineRule="auto"/>
      </w:pPr>
      <w:r>
        <w:rPr>
          <w:rFonts w:ascii="Aptos" w:hAnsi="Aptos" w:cs="Aptos" w:eastAsia="Aptos"/>
          <w:b w:val="0"/>
          <w:i w:val="0"/>
          <w:color w:val="5C7891"/>
          <w:sz w:val="22"/>
        </w:rPr>
        <w:t>Regime nacional vigente, Regulamento (UE) 2026/1818 e projeto de Regime Geral do Animal de Companhia</w:t>
      </w:r>
    </w:p>
    <w:p>
      <w:pPr>
        <w:pBdr>
          <w:bottom w:val="single" w:sz="8" w:space="1" w:color="A9C2D8"/>
        </w:pBdr>
        <w:spacing w:before="0" w:after="120" w:line="40" w:lineRule="exact"/>
      </w:pPr>
    </w:p>
    <w:p>
      <w:pPr>
        <w:spacing w:before="0" w:after="280" w:line="293" w:lineRule="auto"/>
      </w:pPr>
      <w:r>
        <w:rPr>
          <w:rFonts w:ascii="Aptos" w:hAnsi="Aptos" w:cs="Aptos" w:eastAsia="Aptos"/>
          <w:b w:val="0"/>
          <w:i w:val="0"/>
          <w:color w:val="7C8894"/>
          <w:sz w:val="17"/>
        </w:rPr>
        <w:t>Direção-Geral de Alimentação e Veterinária   ·   Divisão de Bem-Estar dos Animais para Fins Experimentais, Companhia e Zoológicos   ·   setembro de 2026</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C9D2DA"/>
              <w:bottom w:val="nil"/>
              <w:right w:val="nil"/>
            </w:tcBorders>
            <w:shd w:val="clear" w:color="auto" w:fill="F6F7F8"/>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18"/>
              </w:rPr>
              <w:t>O projeto de Regime Geral do Animal de Companhia referido neste memorando é uma versão de trabalho, em harmonização interna. As soluções nele constantes não correspondem a direito vigente nem vinculam a posição final da Direção-Geral. As citações do Regulamento (UE) 2026/1818 reproduzem a versão portuguesa publicada no Jornal Oficial de 10 de agosto de 2026, que é texto autêntico.</w:t>
            </w:r>
          </w:p>
        </w:tc>
      </w:tr>
    </w:tbl>
    <w:p>
      <w:pPr>
        <w:spacing w:before="0" w:after="180" w:line="293" w:lineRule="auto"/>
      </w:pPr>
    </w:p>
    <w:p>
      <w:pPr>
        <w:keepNext/>
        <w:spacing w:before="360" w:after="40" w:line="293" w:lineRule="auto"/>
      </w:pPr>
      <w:r>
        <w:rPr>
          <w:rFonts w:ascii="Aptos" w:hAnsi="Aptos" w:cs="Aptos" w:eastAsia="Aptos"/>
          <w:b/>
          <w:i w:val="0"/>
          <w:color w:val="5C7891"/>
          <w:sz w:val="27"/>
        </w:rPr>
        <w:t xml:space="preserve">1.  </w:t>
      </w:r>
      <w:r>
        <w:rPr>
          <w:rFonts w:ascii="Aptos" w:hAnsi="Aptos" w:cs="Aptos" w:eastAsia="Aptos"/>
          <w:b/>
          <w:i w:val="0"/>
          <w:color w:val="35506B"/>
          <w:sz w:val="27"/>
        </w:rPr>
        <w:t>Objeto</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Este memorando fixa o enquadramento jurídico da criação de cães e gatos em pequena escala e reúne os elementos necessários para responder às questões suscitadas publicamente sobre a matéria. Articula, para o efeito, o Decreto-Lei n.º 276/2001, de 17 de outubro, que rege o acesso e o exercício da atividade; o Decreto-Lei n.º 314/2003, de 17 de dezembro, cuja delimitação se trata no ponto 4.3; o Regulamento (UE) 2026/1818, do Parlamento Europeu e do Conselho, de 17 de junho de 2026; e o projeto de Regime Geral do Animal de Companhia.</w:t>
      </w:r>
    </w:p>
    <w:p>
      <w:pPr>
        <w:spacing w:before="0" w:after="140" w:line="293" w:lineRule="auto"/>
        <w:jc w:val="both"/>
      </w:pPr>
      <w:r>
        <w:rPr>
          <w:rFonts w:ascii="Aptos" w:hAnsi="Aptos" w:cs="Aptos" w:eastAsia="Aptos"/>
          <w:b w:val="0"/>
          <w:i w:val="0"/>
          <w:color w:val="2B2B2B"/>
          <w:sz w:val="20"/>
        </w:rPr>
        <w:t>A ordem de exposição é deliberada. Começa-se pelo que já vincula, passa-se ao que passará a vincular e só depois se trata do que está em elaboração. A distinção entre estes três planos é a principal fonte de equívoco no debate público sobre esta matéria.</w:t>
      </w:r>
    </w:p>
    <w:p>
      <w:pPr>
        <w:keepNext/>
        <w:spacing w:before="360" w:after="40" w:line="293" w:lineRule="auto"/>
      </w:pPr>
      <w:r>
        <w:rPr>
          <w:rFonts w:ascii="Aptos" w:hAnsi="Aptos" w:cs="Aptos" w:eastAsia="Aptos"/>
          <w:b/>
          <w:i w:val="0"/>
          <w:color w:val="5C7891"/>
          <w:sz w:val="27"/>
        </w:rPr>
        <w:t xml:space="preserve">2.  </w:t>
      </w:r>
      <w:r>
        <w:rPr>
          <w:rFonts w:ascii="Aptos" w:hAnsi="Aptos" w:cs="Aptos" w:eastAsia="Aptos"/>
          <w:b/>
          <w:i w:val="0"/>
          <w:color w:val="35506B"/>
          <w:sz w:val="27"/>
        </w:rPr>
        <w:t>Conclusões</w:t>
      </w:r>
    </w:p>
    <w:p>
      <w:pPr>
        <w:keepNext/>
        <w:pBdr>
          <w:bottom w:val="single" w:sz="4" w:space="1" w:color="D7DEE5"/>
        </w:pBdr>
        <w:spacing w:before="0" w:after="160" w:line="40" w:lineRule="exact"/>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 xml:space="preserve">Não existe, no direito vigente, no Regulamento ou no projeto de regime, qualquer figura de criador dispensado de registo junto da autoridade competente. O Regulamento admite um regime reduzido de obrigações de bem-estar para quem produza até duas ninhadas por ano civil; </w:t>
            </w:r>
            <w:r>
              <w:rPr>
                <w:rFonts w:ascii="Aptos" w:hAnsi="Aptos" w:cs="Aptos" w:eastAsia="Aptos"/>
                <w:b/>
                <w:i w:val="0"/>
                <w:color w:val="2B2B2B"/>
                <w:sz w:val="20"/>
              </w:rPr>
              <w:t>o projeto de regime não acolhe essa redução</w:t>
            </w:r>
            <w:r>
              <w:rPr>
                <w:rFonts w:ascii="Aptos" w:hAnsi="Aptos" w:cs="Aptos" w:eastAsia="Aptos"/>
                <w:b w:val="0"/>
                <w:i w:val="0"/>
                <w:color w:val="2B2B2B"/>
                <w:sz w:val="20"/>
              </w:rPr>
              <w:t>, aplicando a todos os estabelecimentos de criação o conjunto integral das obrigações.</w:t>
            </w:r>
          </w:p>
        </w:tc>
      </w:tr>
    </w:tbl>
    <w:p>
      <w:pPr>
        <w:spacing w:before="0" w:after="180" w:line="293" w:lineRule="auto"/>
      </w:pPr>
    </w:p>
    <w:p>
      <w:pPr>
        <w:spacing w:before="0" w:after="100" w:line="293" w:lineRule="auto"/>
        <w:ind w:left="408" w:hanging="408"/>
        <w:jc w:val="both"/>
      </w:pPr>
      <w:r>
        <w:rPr>
          <w:rFonts w:ascii="Aptos" w:hAnsi="Aptos" w:cs="Aptos" w:eastAsia="Aptos"/>
          <w:b/>
          <w:i w:val="0"/>
          <w:color w:val="5C7891"/>
          <w:sz w:val="20"/>
        </w:rPr>
        <w:t>1.</w:t>
        <w:tab/>
      </w:r>
      <w:r>
        <w:rPr>
          <w:rFonts w:ascii="Aptos" w:hAnsi="Aptos" w:cs="Aptos" w:eastAsia="Aptos"/>
          <w:b w:val="0"/>
          <w:i w:val="0"/>
          <w:color w:val="2B2B2B"/>
          <w:sz w:val="20"/>
        </w:rPr>
        <w:t>O acesso à atividade depende hoje de mera comunicação prévia ou de permissão administrativa. Uma e outra dão lugar a número de identificação pessoal e intransmissível, e os criadores são publicitados no sítio da Direção-Geral. Nenhum criador registado é anónimo perante a autoridade competente nem perante o público.</w:t>
      </w:r>
    </w:p>
    <w:p>
      <w:pPr>
        <w:spacing w:before="0" w:after="100" w:line="293" w:lineRule="auto"/>
        <w:ind w:left="408" w:hanging="408"/>
        <w:jc w:val="both"/>
      </w:pPr>
      <w:r>
        <w:rPr>
          <w:rFonts w:ascii="Aptos" w:hAnsi="Aptos" w:cs="Aptos" w:eastAsia="Aptos"/>
          <w:b/>
          <w:i w:val="0"/>
          <w:color w:val="5C7891"/>
          <w:sz w:val="20"/>
        </w:rPr>
        <w:t>2.</w:t>
        <w:tab/>
      </w:r>
      <w:r>
        <w:rPr>
          <w:rFonts w:ascii="Aptos" w:hAnsi="Aptos" w:cs="Aptos" w:eastAsia="Aptos"/>
          <w:b w:val="0"/>
          <w:i w:val="0"/>
          <w:color w:val="2B2B2B"/>
          <w:sz w:val="20"/>
        </w:rPr>
        <w:t>O Regulamento dispensa os estabelecimentos de criação até duas ninhadas por ano civil de um conjunto delimitado de obrigações do seu Capítulo II, que inclui o espaço disponível mínimo, a temperatura das áreas de parto, a iluminação, a inspeção diária dos animais e as especificações de socialização e enriquecimento. Não os dispensa da notificação e do registo do estabelecimento, que o artigo 9.º mantém sem exceção.</w:t>
      </w:r>
    </w:p>
    <w:p>
      <w:pPr>
        <w:spacing w:before="0" w:after="100" w:line="293" w:lineRule="auto"/>
        <w:ind w:left="408" w:hanging="408"/>
        <w:jc w:val="both"/>
      </w:pPr>
      <w:r>
        <w:rPr>
          <w:rFonts w:ascii="Aptos" w:hAnsi="Aptos" w:cs="Aptos" w:eastAsia="Aptos"/>
          <w:b/>
          <w:i w:val="0"/>
          <w:color w:val="5C7891"/>
          <w:sz w:val="20"/>
        </w:rPr>
        <w:t>3.</w:t>
        <w:tab/>
      </w:r>
      <w:r>
        <w:rPr>
          <w:rFonts w:ascii="Aptos" w:hAnsi="Aptos" w:cs="Aptos" w:eastAsia="Aptos"/>
          <w:b w:val="0"/>
          <w:i w:val="0"/>
          <w:color w:val="2B2B2B"/>
          <w:sz w:val="20"/>
        </w:rPr>
        <w:t>A identificação e o registo individual dos animais e os requisitos da publicidade em linha constam do Capítulo III do Regulamento. O artigo 5.º dispõe exclusivamente sobre o Capítulo II e não lhes é aplicável. A rastreabilidade não comporta redução em função da escala.</w:t>
      </w:r>
    </w:p>
    <w:p>
      <w:pPr>
        <w:spacing w:before="0" w:after="100" w:line="293" w:lineRule="auto"/>
        <w:ind w:left="408" w:hanging="408"/>
        <w:jc w:val="both"/>
      </w:pPr>
      <w:r>
        <w:rPr>
          <w:rFonts w:ascii="Aptos" w:hAnsi="Aptos" w:cs="Aptos" w:eastAsia="Aptos"/>
          <w:b/>
          <w:i w:val="0"/>
          <w:color w:val="5C7891"/>
          <w:sz w:val="20"/>
        </w:rPr>
        <w:t>4.</w:t>
        <w:tab/>
      </w:r>
      <w:r>
        <w:rPr>
          <w:rFonts w:ascii="Aptos" w:hAnsi="Aptos" w:cs="Aptos" w:eastAsia="Aptos"/>
          <w:b w:val="0"/>
          <w:i w:val="0"/>
          <w:color w:val="2B2B2B"/>
          <w:sz w:val="20"/>
        </w:rPr>
        <w:t>A opção do projeto de regime de não acolher a redução do artigo 5.º constitui regra nacional mais restritiva na aceção do artigo 30.º do Regulamento e deve ser comunicada à Comissão Europeia até 31 de agosto de 2028.</w:t>
      </w:r>
    </w:p>
    <w:p>
      <w:pPr>
        <w:spacing w:before="0" w:after="100" w:line="293" w:lineRule="auto"/>
        <w:ind w:left="408" w:hanging="408"/>
        <w:jc w:val="both"/>
      </w:pPr>
      <w:r>
        <w:rPr>
          <w:rFonts w:ascii="Aptos" w:hAnsi="Aptos" w:cs="Aptos" w:eastAsia="Aptos"/>
          <w:b/>
          <w:i w:val="0"/>
          <w:color w:val="5C7891"/>
          <w:sz w:val="20"/>
        </w:rPr>
        <w:t>5.</w:t>
        <w:tab/>
      </w:r>
      <w:r>
        <w:rPr>
          <w:rFonts w:ascii="Aptos" w:hAnsi="Aptos" w:cs="Aptos" w:eastAsia="Aptos"/>
          <w:b w:val="0"/>
          <w:i w:val="0"/>
          <w:color w:val="2B2B2B"/>
          <w:sz w:val="20"/>
        </w:rPr>
        <w:t>A ponderação técnica realizada em sede interna incidiu sobre a exigência de instalações individualizadas constante do artigo 25.º do Decreto-Lei n.º 276/2001, e não sobre o registo, a identificação, a rastreabilidade ou o controlo reprodutivo. Mesmo na sua formulação mais permissiva, situa-se acima do que o direito da União admite dispensar.</w:t>
      </w:r>
    </w:p>
    <w:p>
      <w:pPr>
        <w:spacing w:before="0" w:after="100" w:line="293" w:lineRule="auto"/>
        <w:ind w:left="408" w:hanging="408"/>
        <w:jc w:val="both"/>
      </w:pPr>
      <w:r>
        <w:rPr>
          <w:rFonts w:ascii="Aptos" w:hAnsi="Aptos" w:cs="Aptos" w:eastAsia="Aptos"/>
          <w:b/>
          <w:i w:val="0"/>
          <w:color w:val="5C7891"/>
          <w:sz w:val="20"/>
        </w:rPr>
        <w:t>6.</w:t>
        <w:tab/>
      </w:r>
      <w:r>
        <w:rPr>
          <w:rFonts w:ascii="Aptos" w:hAnsi="Aptos" w:cs="Aptos" w:eastAsia="Aptos"/>
          <w:b w:val="0"/>
          <w:i w:val="0"/>
          <w:color w:val="2B2B2B"/>
          <w:sz w:val="20"/>
        </w:rPr>
        <w:t>Os limites de alojamento do Decreto-Lei n.º 314/2003 respeitam à detenção doméstica de animais e não fixam a capacidade dos estabelecimentos de criação, que é matéria própria do Decreto-Lei n.º 276/2001 (ponto 4.3 e anexo autónomo).</w:t>
      </w:r>
    </w:p>
    <w:p>
      <w:pPr>
        <w:keepNext/>
        <w:spacing w:before="360" w:after="40" w:line="293" w:lineRule="auto"/>
      </w:pPr>
      <w:r>
        <w:rPr>
          <w:rFonts w:ascii="Aptos" w:hAnsi="Aptos" w:cs="Aptos" w:eastAsia="Aptos"/>
          <w:b/>
          <w:i w:val="0"/>
          <w:color w:val="5C7891"/>
          <w:sz w:val="27"/>
        </w:rPr>
        <w:t xml:space="preserve">3.  </w:t>
      </w:r>
      <w:r>
        <w:rPr>
          <w:rFonts w:ascii="Aptos" w:hAnsi="Aptos" w:cs="Aptos" w:eastAsia="Aptos"/>
          <w:b/>
          <w:i w:val="0"/>
          <w:color w:val="35506B"/>
          <w:sz w:val="27"/>
        </w:rPr>
        <w:t>Delimitação do que está em causa</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A discussão pública associou à revisão legislativa em curso um conjunto de propósitos que não correspondem ao seu conteúdo. Importa separá-los do que efetivamente foi ponderado.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4706"/>
        <w:gridCol w:w="4706"/>
      </w:tblGrid>
      <w:tr>
        <w:trPr>
          <w:cantSplit/>
          <w:tblHeader/>
        </w:trPr>
        <w:tc>
          <w:tcPr>
            <w:tcW w:type="dxa" w:w="3175"/>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Matéria suscitada</w:t>
            </w:r>
          </w:p>
        </w:tc>
        <w:tc>
          <w:tcPr>
            <w:tcW w:type="dxa" w:w="6236"/>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Situação</w:t>
            </w:r>
          </w:p>
        </w:tc>
      </w:tr>
      <w:tr>
        <w:trPr>
          <w:cantSplit/>
        </w:trPr>
        <w:tc>
          <w:tcPr>
            <w:tcW w:type="dxa" w:w="317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Criação de uma figura de criador dispensado de registo</w:t>
            </w:r>
          </w:p>
        </w:tc>
        <w:tc>
          <w:tcPr>
            <w:tcW w:type="dxa" w:w="6236"/>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Não existe no direito vigente, no Regulamento nem no projeto de regime. Nenhum dos três prevê exercício da atividade sem título de acesso.</w:t>
            </w:r>
          </w:p>
        </w:tc>
      </w:tr>
      <w:tr>
        <w:trPr>
          <w:cantSplit/>
        </w:trPr>
        <w:tc>
          <w:tcPr>
            <w:tcW w:type="dxa" w:w="317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Criação de um terceiro título de acesso, a par da mera comunicação prévia e da permissão administrativa</w:t>
            </w:r>
          </w:p>
        </w:tc>
        <w:tc>
          <w:tcPr>
            <w:tcW w:type="dxa" w:w="6236"/>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Não está prevista. O projeto mantém os dois títulos existentes e distribui-os por escala, no sentido da maior exigência.</w:t>
            </w:r>
          </w:p>
        </w:tc>
      </w:tr>
      <w:tr>
        <w:trPr>
          <w:cantSplit/>
        </w:trPr>
        <w:tc>
          <w:tcPr>
            <w:tcW w:type="dxa" w:w="317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Redução das obrigações de identificação e de rastreabilidade</w:t>
            </w:r>
          </w:p>
        </w:tc>
        <w:tc>
          <w:tcPr>
            <w:tcW w:type="dxa" w:w="6236"/>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Não. Constam do Capítulo III do Regulamento, cujo âmbito o artigo 5.º não alcança, e aplicam-se a todos os cães e gatos, incluindo os detidos por particulares.</w:t>
            </w:r>
          </w:p>
        </w:tc>
      </w:tr>
      <w:tr>
        <w:trPr>
          <w:cantSplit/>
        </w:trPr>
        <w:tc>
          <w:tcPr>
            <w:tcW w:type="dxa" w:w="317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Adequação dos requisitos de instalações à dimensão do estabelecimento</w:t>
            </w:r>
          </w:p>
        </w:tc>
        <w:tc>
          <w:tcPr>
            <w:tcW w:type="dxa" w:w="6236"/>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Matéria efetivamente ponderada em sede técnica, incidente sobre os n.os 1 e 2 do artigo 25.º do Decreto-Lei n.º 276/2001. Não consta da versão do projeto remetida à tutela.</w:t>
            </w:r>
          </w:p>
        </w:tc>
      </w:tr>
      <w:tr>
        <w:trPr>
          <w:cantSplit/>
        </w:trPr>
        <w:tc>
          <w:tcPr>
            <w:tcW w:type="dxa" w:w="317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Incompatibilidade com o direito da União</w:t>
            </w:r>
          </w:p>
        </w:tc>
        <w:tc>
          <w:tcPr>
            <w:tcW w:type="dxa" w:w="6236"/>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O Regulamento admite expressamente a modulação por escala (artigo 5.º) e a manutenção de regras nacionais mais restritivas (artigo 30.º). A opção do projeto situa-se acima da linha de base europeia, não abaixo.</w:t>
            </w:r>
          </w:p>
        </w:tc>
      </w:tr>
    </w:tbl>
    <w:p>
      <w:pPr>
        <w:spacing w:before="40" w:after="180" w:line="293" w:lineRule="auto"/>
      </w:pPr>
    </w:p>
    <w:p>
      <w:pPr>
        <w:keepNext/>
        <w:spacing w:before="360" w:after="40" w:line="293" w:lineRule="auto"/>
      </w:pPr>
      <w:r>
        <w:rPr>
          <w:rFonts w:ascii="Aptos" w:hAnsi="Aptos" w:cs="Aptos" w:eastAsia="Aptos"/>
          <w:b/>
          <w:i w:val="0"/>
          <w:color w:val="5C7891"/>
          <w:sz w:val="27"/>
        </w:rPr>
        <w:t xml:space="preserve">4.  </w:t>
      </w:r>
      <w:r>
        <w:rPr>
          <w:rFonts w:ascii="Aptos" w:hAnsi="Aptos" w:cs="Aptos" w:eastAsia="Aptos"/>
          <w:b/>
          <w:i w:val="0"/>
          <w:color w:val="35506B"/>
          <w:sz w:val="27"/>
        </w:rPr>
        <w:t>Regime nacional vigente</w:t>
      </w:r>
    </w:p>
    <w:p>
      <w:pPr>
        <w:keepNext/>
        <w:pBdr>
          <w:bottom w:val="single" w:sz="4" w:space="1" w:color="D7DEE5"/>
        </w:pBdr>
        <w:spacing w:before="0" w:after="160" w:line="40" w:lineRule="exact"/>
      </w:pPr>
    </w:p>
    <w:p>
      <w:pPr>
        <w:keepNext/>
        <w:spacing w:before="260" w:after="80" w:line="293" w:lineRule="auto"/>
      </w:pPr>
      <w:r>
        <w:rPr>
          <w:rFonts w:ascii="Aptos" w:hAnsi="Aptos" w:cs="Aptos" w:eastAsia="Aptos"/>
          <w:b/>
          <w:i w:val="0"/>
          <w:color w:val="7C8894"/>
          <w:sz w:val="21"/>
        </w:rPr>
        <w:t xml:space="preserve">4.1  </w:t>
      </w:r>
      <w:r>
        <w:rPr>
          <w:rFonts w:ascii="Aptos" w:hAnsi="Aptos" w:cs="Aptos" w:eastAsia="Aptos"/>
          <w:b/>
          <w:i w:val="0"/>
          <w:color w:val="35506B"/>
          <w:sz w:val="21"/>
        </w:rPr>
        <w:t>Acesso e exercício da atividade</w:t>
      </w:r>
    </w:p>
    <w:p>
      <w:pPr>
        <w:spacing w:before="0" w:after="140" w:line="293" w:lineRule="auto"/>
        <w:jc w:val="both"/>
      </w:pPr>
      <w:r>
        <w:rPr>
          <w:rFonts w:ascii="Aptos" w:hAnsi="Aptos" w:cs="Aptos" w:eastAsia="Aptos"/>
          <w:b w:val="0"/>
          <w:i w:val="0"/>
          <w:color w:val="2B2B2B"/>
          <w:sz w:val="20"/>
        </w:rPr>
        <w:t>O Decreto-Lei n.º 276/2001 regula, nos termos do seu artigo 1.º, o exercício da atividade de exploração de alojamentos, independentemente do seu fim, e de venda de animais de companhia. O critério de sujeição é a atividade, não a dimensão: basta uma fêmea reprodutora cujas crias se destinem ao comércio.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«Criação comercial de animais de companhia», a atividade que consiste em possuir uma ou mais fêmeas reprodutoras cujas crias sejam destinadas ao comércio.</w:t>
            </w:r>
          </w:p>
          <w:p>
            <w:pPr>
              <w:spacing w:before="120" w:after="0" w:line="293" w:lineRule="auto"/>
            </w:pPr>
            <w:r>
              <w:rPr>
                <w:rFonts w:ascii="Aptos" w:hAnsi="Aptos" w:cs="Aptos" w:eastAsia="Aptos"/>
                <w:b w:val="0"/>
                <w:i w:val="0"/>
                <w:color w:val="7C8894"/>
                <w:sz w:val="15"/>
              </w:rPr>
              <w:t>Al. aa) do artigo 2.º do Decreto-Lei n.º 276/2001</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1 — Sem prejuízo do disposto no Decreto-Lei n.º 10/2015, de 16 de janeiro, quanto aos estabelecimentos de comércio a retalho de animais de companhia, o exercício da atividade de exploração de alojamentos, bem como a atividade de criação comercial de animais de companhia depende de:</w:t>
            </w:r>
          </w:p>
          <w:p>
            <w:pPr>
              <w:spacing w:before="0" w:after="80" w:line="293" w:lineRule="auto"/>
              <w:jc w:val="both"/>
            </w:pPr>
            <w:r>
              <w:rPr>
                <w:rFonts w:ascii="Aptos" w:hAnsi="Aptos" w:cs="Aptos" w:eastAsia="Aptos"/>
                <w:b w:val="0"/>
                <w:i/>
                <w:color w:val="2B2B2B"/>
                <w:sz w:val="19"/>
              </w:rPr>
              <w:t>a) Mera comunicação prévia, no caso dos centros de recolha, alojamentos para hospedagem, com ou sem fins lucrativos, criação comercial de animais de companhia, em qualquer caso com exceção dos destinados exclusivamente à venda, sem prejuízo do disposto na alínea seguinte;</w:t>
            </w:r>
          </w:p>
          <w:p>
            <w:pPr>
              <w:spacing w:before="0" w:after="0" w:line="293" w:lineRule="auto"/>
              <w:jc w:val="both"/>
            </w:pPr>
            <w:r>
              <w:rPr>
                <w:rFonts w:ascii="Aptos" w:hAnsi="Aptos" w:cs="Aptos" w:eastAsia="Aptos"/>
                <w:b w:val="0"/>
                <w:i/>
                <w:color w:val="2B2B2B"/>
                <w:sz w:val="19"/>
              </w:rPr>
              <w:t>b) Permissão administrativa, no caso dos alojamentos para hospedagem com fins lucrativos destinados à reprodução e criação de animais potencialmente perigosos, nomeadamente de cães das raças consideradas como potencialmente perigosas.</w:t>
            </w:r>
          </w:p>
          <w:p>
            <w:pPr>
              <w:spacing w:before="120" w:after="0" w:line="293" w:lineRule="auto"/>
            </w:pPr>
            <w:r>
              <w:rPr>
                <w:rFonts w:ascii="Aptos" w:hAnsi="Aptos" w:cs="Aptos" w:eastAsia="Aptos"/>
                <w:b w:val="0"/>
                <w:i w:val="0"/>
                <w:color w:val="7C8894"/>
                <w:sz w:val="15"/>
              </w:rPr>
              <w:t>N.º 1 do artigo 3.º do Decreto-Lei n.º 276/2001</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Dois efeitos deste regime são frequentemente ignorados no debate, e são decisivos: o título de acesso gera número identificador e a identidade do criador é pública.</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11 — A comunicação prévia ou a permissão administrativa dão lugar a um número de identificação, o qual é pessoal e intransmissível.</w:t>
            </w:r>
          </w:p>
          <w:p>
            <w:pPr>
              <w:spacing w:before="0" w:after="0" w:line="293" w:lineRule="auto"/>
              <w:jc w:val="both"/>
            </w:pPr>
            <w:r>
              <w:rPr>
                <w:rFonts w:ascii="Aptos" w:hAnsi="Aptos" w:cs="Aptos" w:eastAsia="Aptos"/>
                <w:b w:val="0"/>
                <w:i/>
                <w:color w:val="2B2B2B"/>
                <w:sz w:val="19"/>
              </w:rPr>
              <w:t>12 — A DGAV publicita, no seu sítio de Internet, os nomes dos criadores comerciais de animais de companhia e respetivo município de atividade e número de identificação.</w:t>
            </w:r>
          </w:p>
          <w:p>
            <w:pPr>
              <w:spacing w:before="120" w:after="0" w:line="293" w:lineRule="auto"/>
            </w:pPr>
            <w:r>
              <w:rPr>
                <w:rFonts w:ascii="Aptos" w:hAnsi="Aptos" w:cs="Aptos" w:eastAsia="Aptos"/>
                <w:b w:val="0"/>
                <w:i w:val="0"/>
                <w:color w:val="7C8894"/>
                <w:sz w:val="15"/>
              </w:rPr>
              <w:t>N.os 11 e 12 do artigo 3.º do Decreto-Lei n.º 276/2001</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A mera comunicação prévia é dirigida à Direção-Geral e integra, entre outros elementos, a localização do alojamento, a caracterização das atividades, a indicação do médico veterinário responsável, a capacidade máxima de animais e respetivas espécies a alojar, o número de animais detidos, espécies e raças, e declaração de responsabilidade quanto ao cumprimento da legislação aplicável em matéria de instalações, equipamentos, higiene, saúde e bem-estar dos animais.</w:t>
      </w:r>
    </w:p>
    <w:p>
      <w:pPr>
        <w:spacing w:before="0" w:after="140" w:line="293" w:lineRule="auto"/>
        <w:jc w:val="both"/>
      </w:pPr>
      <w:r>
        <w:rPr>
          <w:rFonts w:ascii="Aptos" w:hAnsi="Aptos" w:cs="Aptos" w:eastAsia="Aptos"/>
          <w:b w:val="0"/>
          <w:i w:val="0"/>
          <w:color w:val="2B2B2B"/>
          <w:sz w:val="20"/>
        </w:rPr>
        <w:t>Assinala-se uma limitação do regime vigente que a revisão deve corrigir. As obrigações dos artigos 4.º e 5.º dirigem-se aos titulares de alojamentos para hospedagem, e a hospedagem com fins lucrativos é definida por referência a interesses comerciais ou lucrativos. Quem cria sem intuito declarado de lucro fica, por essa via, fora do âmbito. É esta a lacuna que a proposta de abandonar o critério do fim lucrativo se destina a fechar.</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«Hospedagem com fins lucrativos» o alojamento para reprodução, criação, manutenção e venda de animais de companhia que vise interesses comerciais ou lucrativos, incluindo-se no alojamento para manutenção os hotéis e os centros de treino de cães com alojamento.</w:t>
            </w:r>
          </w:p>
          <w:p>
            <w:pPr>
              <w:spacing w:before="120" w:after="0" w:line="293" w:lineRule="auto"/>
            </w:pPr>
            <w:r>
              <w:rPr>
                <w:rFonts w:ascii="Aptos" w:hAnsi="Aptos" w:cs="Aptos" w:eastAsia="Aptos"/>
                <w:b w:val="0"/>
                <w:i w:val="0"/>
                <w:color w:val="7C8894"/>
                <w:sz w:val="15"/>
              </w:rPr>
              <w:t>Al. q) do artigo 2.º do Decreto-Lei n.º 276/2001</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4.2  </w:t>
      </w:r>
      <w:r>
        <w:rPr>
          <w:rFonts w:ascii="Aptos" w:hAnsi="Aptos" w:cs="Aptos" w:eastAsia="Aptos"/>
          <w:b/>
          <w:i w:val="0"/>
          <w:color w:val="35506B"/>
          <w:sz w:val="21"/>
        </w:rPr>
        <w:t>Responsabilidade médico-veterinária, registos e instalações</w:t>
      </w:r>
    </w:p>
    <w:p>
      <w:pPr>
        <w:spacing w:before="0" w:after="140" w:line="293" w:lineRule="auto"/>
        <w:jc w:val="both"/>
      </w:pPr>
      <w:r>
        <w:rPr>
          <w:rFonts w:ascii="Aptos" w:hAnsi="Aptos" w:cs="Aptos" w:eastAsia="Aptos"/>
          <w:b w:val="0"/>
          <w:i w:val="0"/>
          <w:color w:val="2B2B2B"/>
          <w:sz w:val="20"/>
        </w:rPr>
        <w:t>O alojamento deve dispor de médico veterinário responsável, cujas competências a lei fixa de forma taxativa.</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2 — Ao médico veterinário responsável pelo alojamento compete:</w:t>
            </w:r>
          </w:p>
          <w:p>
            <w:pPr>
              <w:spacing w:before="0" w:after="80" w:line="293" w:lineRule="auto"/>
              <w:jc w:val="both"/>
            </w:pPr>
            <w:r>
              <w:rPr>
                <w:rFonts w:ascii="Aptos" w:hAnsi="Aptos" w:cs="Aptos" w:eastAsia="Aptos"/>
                <w:b w:val="0"/>
                <w:i/>
                <w:color w:val="2B2B2B"/>
                <w:sz w:val="19"/>
              </w:rPr>
              <w:t>a) A elaboração e a execução de programas e ações que visem a saúde e o bem-estar dos animais e o seu acompanhamento, bem como a emissão de pareceres relativos à saúde e ao bem-estar dos animais;</w:t>
            </w:r>
          </w:p>
          <w:p>
            <w:pPr>
              <w:spacing w:before="0" w:after="80" w:line="293" w:lineRule="auto"/>
              <w:jc w:val="both"/>
            </w:pPr>
            <w:r>
              <w:rPr>
                <w:rFonts w:ascii="Aptos" w:hAnsi="Aptos" w:cs="Aptos" w:eastAsia="Aptos"/>
                <w:b w:val="0"/>
                <w:i/>
                <w:color w:val="2B2B2B"/>
                <w:sz w:val="19"/>
              </w:rPr>
              <w:t>b) A orientação técnica do pessoal que cuida dos animais;</w:t>
            </w:r>
          </w:p>
          <w:p>
            <w:pPr>
              <w:spacing w:before="0" w:after="0" w:line="293" w:lineRule="auto"/>
              <w:jc w:val="both"/>
            </w:pPr>
            <w:r>
              <w:rPr>
                <w:rFonts w:ascii="Aptos" w:hAnsi="Aptos" w:cs="Aptos" w:eastAsia="Aptos"/>
                <w:b w:val="0"/>
                <w:i/>
                <w:color w:val="2B2B2B"/>
                <w:sz w:val="19"/>
              </w:rPr>
              <w:t>c) A colaboração com as autoridades competentes em todas as ações que estas determinarem.</w:t>
            </w:r>
          </w:p>
          <w:p>
            <w:pPr>
              <w:spacing w:before="120" w:after="0" w:line="293" w:lineRule="auto"/>
            </w:pPr>
            <w:r>
              <w:rPr>
                <w:rFonts w:ascii="Aptos" w:hAnsi="Aptos" w:cs="Aptos" w:eastAsia="Aptos"/>
                <w:b w:val="0"/>
                <w:i w:val="0"/>
                <w:color w:val="7C8894"/>
                <w:sz w:val="15"/>
              </w:rPr>
              <w:t>N.º 2 do artigo 4.º do Decreto-Lei n.º 276/2001</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Os registos a conservar durante um ano são igualmente definidos por enumeração.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1 — Os titulares da exploração dos alojamentos para hospedagem de animais de companhia, com ou sem fins lucrativos, com fins médico-veterinários e os centros de recolha devem manter, pelo prazo de um ano, os seguintes registos:</w:t>
            </w:r>
          </w:p>
          <w:p>
            <w:pPr>
              <w:spacing w:before="0" w:after="80" w:line="293" w:lineRule="auto"/>
              <w:jc w:val="both"/>
            </w:pPr>
            <w:r>
              <w:rPr>
                <w:rFonts w:ascii="Aptos" w:hAnsi="Aptos" w:cs="Aptos" w:eastAsia="Aptos"/>
                <w:b w:val="0"/>
                <w:i/>
                <w:color w:val="2B2B2B"/>
                <w:sz w:val="19"/>
              </w:rPr>
              <w:t>a) A identificação do detentor do animal, designadamente nome e morada;</w:t>
            </w:r>
          </w:p>
          <w:p>
            <w:pPr>
              <w:spacing w:before="0" w:after="80" w:line="293" w:lineRule="auto"/>
              <w:jc w:val="both"/>
            </w:pPr>
            <w:r>
              <w:rPr>
                <w:rFonts w:ascii="Aptos" w:hAnsi="Aptos" w:cs="Aptos" w:eastAsia="Aptos"/>
                <w:b w:val="0"/>
                <w:i/>
                <w:color w:val="2B2B2B"/>
                <w:sz w:val="19"/>
              </w:rPr>
              <w:t>b) A identificação dos animais, nomeadamente o número de identificação, se aplicável, nome, espécie, raça, idade e quaisquer sinais particulares, sempre que aplicável;</w:t>
            </w:r>
          </w:p>
          <w:p>
            <w:pPr>
              <w:spacing w:before="0" w:after="80" w:line="293" w:lineRule="auto"/>
              <w:jc w:val="both"/>
            </w:pPr>
            <w:r>
              <w:rPr>
                <w:rFonts w:ascii="Aptos" w:hAnsi="Aptos" w:cs="Aptos" w:eastAsia="Aptos"/>
                <w:b w:val="0"/>
                <w:i/>
                <w:color w:val="2B2B2B"/>
                <w:sz w:val="19"/>
              </w:rPr>
              <w:t>c) O número de animais por espécie;</w:t>
            </w:r>
          </w:p>
          <w:p>
            <w:pPr>
              <w:spacing w:before="0" w:after="0" w:line="293" w:lineRule="auto"/>
              <w:jc w:val="both"/>
            </w:pPr>
            <w:r>
              <w:rPr>
                <w:rFonts w:ascii="Aptos" w:hAnsi="Aptos" w:cs="Aptos" w:eastAsia="Aptos"/>
                <w:b w:val="0"/>
                <w:i/>
                <w:color w:val="2B2B2B"/>
                <w:sz w:val="19"/>
              </w:rPr>
              <w:t>d) O movimento mensal, nomeadamente registos relativos à origem e às datas das entradas, nascimentos, mortes e, ainda, datas de saída e destino dos animais.</w:t>
            </w:r>
          </w:p>
          <w:p>
            <w:pPr>
              <w:spacing w:before="120" w:after="0" w:line="293" w:lineRule="auto"/>
            </w:pPr>
            <w:r>
              <w:rPr>
                <w:rFonts w:ascii="Aptos" w:hAnsi="Aptos" w:cs="Aptos" w:eastAsia="Aptos"/>
                <w:b w:val="0"/>
                <w:i w:val="0"/>
                <w:color w:val="7C8894"/>
                <w:sz w:val="15"/>
              </w:rPr>
              <w:t>N.º 1 do artigo 5.º do Decreto-Lei n.º 276/2001</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Quanto às instalações, o diploma exige compartimentação individualizada. É esta a norma sobre a qual incidiu a ponderação técnica referida no ponto 3, e convém que seja lida no seu teor exato, por ser frequentemente parafraseada de modo inexato.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1 — Os alojamentos no âmbito deste capítulo devem possuir instalações individualizadas destinadas à armazenagem de alimentos e equipamento limpo e à lavagem e recolha de material.</w:t>
            </w:r>
          </w:p>
          <w:p>
            <w:pPr>
              <w:spacing w:before="0" w:after="0" w:line="293" w:lineRule="auto"/>
              <w:jc w:val="both"/>
            </w:pPr>
            <w:r>
              <w:rPr>
                <w:rFonts w:ascii="Aptos" w:hAnsi="Aptos" w:cs="Aptos" w:eastAsia="Aptos"/>
                <w:b w:val="0"/>
                <w:i/>
                <w:color w:val="2B2B2B"/>
                <w:sz w:val="19"/>
              </w:rPr>
              <w:t>2 — Os alojamentos para a reprodução/criação, para além do disposto no número anterior, devem possuir instalações individualizadas destinadas à maternidade e à criação até à idade adulta, a quarentena, a enfermaria, o manuseamento de alimentos e à higienização dos animais.</w:t>
            </w:r>
          </w:p>
          <w:p>
            <w:pPr>
              <w:spacing w:before="120" w:after="0" w:line="293" w:lineRule="auto"/>
            </w:pPr>
            <w:r>
              <w:rPr>
                <w:rFonts w:ascii="Aptos" w:hAnsi="Aptos" w:cs="Aptos" w:eastAsia="Aptos"/>
                <w:b w:val="0"/>
                <w:i w:val="0"/>
                <w:color w:val="7C8894"/>
                <w:sz w:val="15"/>
              </w:rPr>
              <w:t>N.os 1 e 2 do artigo 25.º do Decreto-Lei n.º 276/2001</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O mesmo artigo impõe ainda enriquecimento ambiental e área de recreio para cães e gatos, e remete os parâmetros dimensionais para o anexo I do diploma. É daqui, e não de qualquer outro diploma, que resulta a capacidade admissível de um alojamento.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5 — Os alojamentos referidos ao abrigo deste capítulo devem possuir estruturas e objetos que permitam enriquecer o meio ambiente, nomeadamente prateleiras, poleiros, ninhos, esconderijos e material para entretenimento dos animais conforme as espécies e o seu grau de desenvolvimento, consoante se trate de adultos, jovens ou fêmeas com ninhadas. Para além disso, os alojamentos destinados a cães e gatos devem também possuir área de recreio, coberta ou descoberta.</w:t>
            </w:r>
          </w:p>
          <w:p>
            <w:pPr>
              <w:spacing w:before="0" w:after="0" w:line="293" w:lineRule="auto"/>
              <w:jc w:val="both"/>
            </w:pPr>
            <w:r>
              <w:rPr>
                <w:rFonts w:ascii="Aptos" w:hAnsi="Aptos" w:cs="Aptos" w:eastAsia="Aptos"/>
                <w:b w:val="0"/>
                <w:i/>
                <w:color w:val="2B2B2B"/>
                <w:sz w:val="19"/>
              </w:rPr>
              <w:t>6 — Os alojamentos referidos neste capítulo devem obedecer aos parâmetros mínimos adequados à espécie, nomeadamente os constantes do anexo i do presente diploma, do qual faz parte integrante.</w:t>
            </w:r>
          </w:p>
          <w:p>
            <w:pPr>
              <w:spacing w:before="120" w:after="0" w:line="293" w:lineRule="auto"/>
            </w:pPr>
            <w:r>
              <w:rPr>
                <w:rFonts w:ascii="Aptos" w:hAnsi="Aptos" w:cs="Aptos" w:eastAsia="Aptos"/>
                <w:b w:val="0"/>
                <w:i w:val="0"/>
                <w:color w:val="7C8894"/>
                <w:sz w:val="15"/>
              </w:rPr>
              <w:t>N.os 5 e 6 do artigo 25.º do Decreto-Lei n.º 276/2001</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4.3  </w:t>
      </w:r>
      <w:r>
        <w:rPr>
          <w:rFonts w:ascii="Aptos" w:hAnsi="Aptos" w:cs="Aptos" w:eastAsia="Aptos"/>
          <w:b/>
          <w:i w:val="0"/>
          <w:color w:val="35506B"/>
          <w:sz w:val="21"/>
        </w:rPr>
        <w:t>Decreto-Lei n.º 314/2003: enquadramento e delimitação</w:t>
      </w:r>
    </w:p>
    <w:p>
      <w:pPr>
        <w:spacing w:before="0" w:after="140" w:line="293" w:lineRule="auto"/>
        <w:jc w:val="both"/>
      </w:pPr>
      <w:r>
        <w:rPr>
          <w:rFonts w:ascii="Aptos" w:hAnsi="Aptos" w:cs="Aptos" w:eastAsia="Aptos"/>
          <w:b w:val="0"/>
          <w:i w:val="0"/>
          <w:color w:val="2B2B2B"/>
          <w:sz w:val="20"/>
        </w:rPr>
        <w:t>O Decreto-Lei n.º 314/2003 aprova o Programa Nacional de Luta e Vigilância Epidemiológica da Raiva Animal e Outras Zoonoses e estabelece as regras relativas à posse e detenção, comércio, exposições e entrada em território nacional de animais suscetíveis à raiva. Releva para esta matéria por dois motivos: fixa limites ao número de animais alojados por fogo e impõe documentação sanitária nos estabelecimentos de comércio.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1 — O alojamento de cães e gatos em prédios urbanos, rústicos ou mistos, fica sempre condicionado à existência de boas condições do mesmo e ausência de riscos hígio-sanitários relativamente à conspurcação ambiental e doenças transmissíveis ao homem.</w:t>
            </w:r>
          </w:p>
          <w:p>
            <w:pPr>
              <w:spacing w:before="0" w:after="80" w:line="293" w:lineRule="auto"/>
              <w:jc w:val="both"/>
            </w:pPr>
            <w:r>
              <w:rPr>
                <w:rFonts w:ascii="Aptos" w:hAnsi="Aptos" w:cs="Aptos" w:eastAsia="Aptos"/>
                <w:b w:val="0"/>
                <w:i/>
                <w:color w:val="2B2B2B"/>
                <w:sz w:val="19"/>
              </w:rPr>
              <w:t>2 — Nos prédios urbanos podem ser alojados até três cães ou quatro gatos adultos por cada fogo, não podendo no total ser excedido o número de quatro animais, excepto se, a pedido do detentor, e mediante parecer vinculativo do médico veterinário municipal e do delegado de saúde, for autorizado alojamento até ao máximo de seis animais adultos, desde que se verifiquem todos os requisitos hígio-sanitários e de bem-estar animal legalmente exigidos.</w:t>
            </w:r>
          </w:p>
          <w:p>
            <w:pPr>
              <w:spacing w:before="0" w:after="0" w:line="293" w:lineRule="auto"/>
              <w:jc w:val="both"/>
            </w:pPr>
            <w:r>
              <w:rPr>
                <w:rFonts w:ascii="Aptos" w:hAnsi="Aptos" w:cs="Aptos" w:eastAsia="Aptos"/>
                <w:b w:val="0"/>
                <w:i/>
                <w:color w:val="2B2B2B"/>
                <w:sz w:val="19"/>
              </w:rPr>
              <w:t>4 — Nos prédios rústicos ou mistos podem ser alojados até seis animais adultos, podendo tal número ser excedido se a dimensão do terreno o permitir e desde que as condições de alojamento obedeçam aos requisitos estabelecidos no n.º 1.</w:t>
            </w:r>
          </w:p>
          <w:p>
            <w:pPr>
              <w:spacing w:before="120" w:after="0" w:line="293" w:lineRule="auto"/>
            </w:pPr>
            <w:r>
              <w:rPr>
                <w:rFonts w:ascii="Aptos" w:hAnsi="Aptos" w:cs="Aptos" w:eastAsia="Aptos"/>
                <w:b w:val="0"/>
                <w:i w:val="0"/>
                <w:color w:val="7C8894"/>
                <w:sz w:val="15"/>
              </w:rPr>
              <w:t>N.os 1, 2 e 4 do artigo 3.º do Decreto-Lei n.º 314/2003</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Estes limites regulam a detenção doméstica. Não constituem limiar de capacidade dos estabelecimentos de criação nem condicionam o acesso à atividade. Os fundamentos desta leitura desenvolvem-se em anexo autónomo; sintetizam-se aqui os essenciais.</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Objeto e destinatário.</w:t>
      </w:r>
      <w:r>
        <w:rPr>
          <w:rFonts w:ascii="Aptos" w:hAnsi="Aptos" w:cs="Aptos" w:eastAsia="Aptos"/>
          <w:b w:val="0"/>
          <w:i w:val="0"/>
          <w:color w:val="2B2B2B"/>
          <w:sz w:val="20"/>
        </w:rPr>
        <w:t xml:space="preserve"> O diploma é legislação sanitária de luta contra a raiva. A epígrafe do artigo 3.º é «Detenção de cães e gatos» e o seu destinatário é o detentor, referido ao fogo. O Decreto-Lei n.º 276/2001 tem por objeto o exercício de uma atividade.</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Articulação expressa feita pelo legislador.</w:t>
      </w:r>
      <w:r>
        <w:rPr>
          <w:rFonts w:ascii="Aptos" w:hAnsi="Aptos" w:cs="Aptos" w:eastAsia="Aptos"/>
          <w:b w:val="0"/>
          <w:i w:val="0"/>
          <w:color w:val="2B2B2B"/>
          <w:sz w:val="20"/>
        </w:rPr>
        <w:t xml:space="preserve"> O Decreto-Lei n.º 315/2003, publicado no mesmo dia do Decreto-Lei n.º 314/2003, alterou o Decreto-Lei n.º 276/2001 para excecionar da definição de «hospedagem sem fins lucrativos» as fracções autónomas em regime de propriedade horizontal a que se refere o n.º 3 do artigo 3.º do diploma da raiva. Confrontado com a coexistência dos dois regimes, o legislador subtraiu a detenção doméstica ao conceito de alojamento sujeito a título de acesso, em vez de a converter em limite de capacidade.</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Leitura confirmada pela doutrina.</w:t>
      </w:r>
      <w:r>
        <w:rPr>
          <w:rFonts w:ascii="Aptos" w:hAnsi="Aptos" w:cs="Aptos" w:eastAsia="Aptos"/>
          <w:b w:val="0"/>
          <w:i w:val="0"/>
          <w:color w:val="2B2B2B"/>
          <w:sz w:val="20"/>
        </w:rPr>
        <w:t xml:space="preserve"> A propósito do mesmo artigo 3.º, sustentou-se que «a limitação prevista nesta norma vale para efeito de prevenção de zoonoses» e que seria abusivo dela extrair uma limitação geral aos poderes do proprietário. Se os limites não conformam sequer o direito de propriedade e as relações de vizinhança, menos podem condicionar o acesso a uma atividade económica regulada por diploma próprio.</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Critérios logicamente independentes.</w:t>
      </w:r>
      <w:r>
        <w:rPr>
          <w:rFonts w:ascii="Aptos" w:hAnsi="Aptos" w:cs="Aptos" w:eastAsia="Aptos"/>
          <w:b w:val="0"/>
          <w:i w:val="0"/>
          <w:color w:val="2B2B2B"/>
          <w:sz w:val="20"/>
        </w:rPr>
        <w:t xml:space="preserve"> O Decreto-Lei n.º 276/2001 desencadeia-se com uma fêmea reprodutora; o Decreto-Lei n.º 314/2003 com o quarto animal adulto no fogo. Pode haver atividade sem excesso de lotação e lotação sem atividade.</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A capacidade tem regime próprio.</w:t>
      </w:r>
      <w:r>
        <w:rPr>
          <w:rFonts w:ascii="Aptos" w:hAnsi="Aptos" w:cs="Aptos" w:eastAsia="Aptos"/>
          <w:b w:val="0"/>
          <w:i w:val="0"/>
          <w:color w:val="2B2B2B"/>
          <w:sz w:val="20"/>
        </w:rPr>
        <w:t xml:space="preserve"> É declarada na mera comunicação prévia e aferida pelos parâmetros do anexo I do Decreto-Lei n.º 276/2001, por força do n.º 6 do artigo 25.º. A lei especial dos alojamentos é essa.</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Consequência da tese contrária.</w:t>
      </w:r>
      <w:r>
        <w:rPr>
          <w:rFonts w:ascii="Aptos" w:hAnsi="Aptos" w:cs="Aptos" w:eastAsia="Aptos"/>
          <w:b w:val="0"/>
          <w:i w:val="0"/>
          <w:color w:val="2B2B2B"/>
          <w:sz w:val="20"/>
        </w:rPr>
        <w:t xml:space="preserve"> Se os limites por fogo valessem como capacidade dos estabelecimentos, nenhum criador em prédio urbano poderia deter mais de quatro animais adultos, e o limiar europeu de cinco fêmeas reprodutoras seria inaplicável em meio urbano. O resultado contraria a arquitetura do Regulamento e a do próprio projeto de regime.</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Classificação predial é critério tributário.</w:t>
      </w:r>
      <w:r>
        <w:rPr>
          <w:rFonts w:ascii="Aptos" w:hAnsi="Aptos" w:cs="Aptos" w:eastAsia="Aptos"/>
          <w:b w:val="0"/>
          <w:i w:val="0"/>
          <w:color w:val="2B2B2B"/>
          <w:sz w:val="20"/>
        </w:rPr>
        <w:t xml:space="preserve"> Prédio urbano, rústico e misto são categorias do Código do Imposto Municipal sobre Imóveis. Fazer depender a licitude de uma atividade económica da matriz predial não encontra apoio na lei nem resiste a um juízo de proporcionalidade.</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i w:val="0"/>
          <w:color w:val="2B2B2B"/>
          <w:sz w:val="20"/>
        </w:rPr>
        <w:t>O direito da União afasta a relevância do tipo de prédio.</w:t>
      </w:r>
      <w:r>
        <w:rPr>
          <w:rFonts w:ascii="Aptos" w:hAnsi="Aptos" w:cs="Aptos" w:eastAsia="Aptos"/>
          <w:b w:val="0"/>
          <w:i w:val="0"/>
          <w:color w:val="2B2B2B"/>
          <w:sz w:val="20"/>
        </w:rPr>
        <w:t xml:space="preserve"> O Regulamento define estabelecimento de criação como qualquer instalação ou estrutura, incluindo casas particulares, onde são mantidos cães ou gatos para fins de reprodução com vista à colocação da sua descendência no mercado.</w:t>
      </w:r>
    </w:p>
    <w:p>
      <w:pPr>
        <w:spacing w:before="0" w:after="140" w:line="293" w:lineRule="auto"/>
        <w:jc w:val="both"/>
      </w:pPr>
      <w:r>
        <w:rPr>
          <w:rFonts w:ascii="Aptos" w:hAnsi="Aptos" w:cs="Aptos" w:eastAsia="Aptos"/>
          <w:b w:val="0"/>
          <w:i w:val="0"/>
          <w:color w:val="2B2B2B"/>
          <w:sz w:val="20"/>
        </w:rPr>
        <w:t>O que o Decreto-Lei n.º 314/2003 efetivamente impõe a quem comercializa consta do seu artigo 5.º e esgota-se em documentação sanitária, identificação eletrónica e profilaxias. Não regula a criação nem a reprodução.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1 — Os cães e gatos que se encontrem em estabelecimentos destinados ao seu comércio devem estar acompanhados do respectivo boletim sanitário de cães e gatos, onde deve estar aposta a etiqueta autocolante comprovativa da identificação electrónica, quando aplicável, e ter asseguradas as acções de profilaxia médica e sanitária obrigatórias ou consideradas adequadas à saúde e idade dos animais pelo médico veterinário.</w:t>
            </w:r>
          </w:p>
          <w:p>
            <w:pPr>
              <w:spacing w:before="120" w:after="0" w:line="293" w:lineRule="auto"/>
            </w:pPr>
            <w:r>
              <w:rPr>
                <w:rFonts w:ascii="Aptos" w:hAnsi="Aptos" w:cs="Aptos" w:eastAsia="Aptos"/>
                <w:b w:val="0"/>
                <w:i w:val="0"/>
                <w:color w:val="7C8894"/>
                <w:sz w:val="15"/>
              </w:rPr>
              <w:t>N.º 1 do artigo 5.º do Decreto-Lei n.º 314/2003</w:t>
            </w:r>
          </w:p>
        </w:tc>
      </w:tr>
    </w:tbl>
    <w:p>
      <w:pPr>
        <w:spacing w:before="0" w:after="180" w:line="293" w:lineRule="auto"/>
      </w:pPr>
    </w:p>
    <w:p>
      <w:pPr>
        <w:keepNext/>
        <w:spacing w:before="360" w:after="40" w:line="293" w:lineRule="auto"/>
      </w:pPr>
      <w:r>
        <w:rPr>
          <w:rFonts w:ascii="Aptos" w:hAnsi="Aptos" w:cs="Aptos" w:eastAsia="Aptos"/>
          <w:b/>
          <w:i w:val="0"/>
          <w:color w:val="5C7891"/>
          <w:sz w:val="27"/>
        </w:rPr>
        <w:t xml:space="preserve">5.  </w:t>
      </w:r>
      <w:r>
        <w:rPr>
          <w:rFonts w:ascii="Aptos" w:hAnsi="Aptos" w:cs="Aptos" w:eastAsia="Aptos"/>
          <w:b/>
          <w:i w:val="0"/>
          <w:color w:val="35506B"/>
          <w:sz w:val="27"/>
        </w:rPr>
        <w:t>Regulamento (UE) 2026/1818</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O Regulamento é diretamente aplicável, sem transposição. Foi publicado no Jornal Oficial de 10 de agosto de 2026 e entra em vigor no vigésimo dia seguinte, mas só é aplicável a partir de 31 de agosto de 2028, com diferimentos até 2036 que o ponto 5.6 detalha.</w:t>
      </w:r>
    </w:p>
    <w:p>
      <w:pPr>
        <w:keepNext/>
        <w:spacing w:before="260" w:after="80" w:line="293" w:lineRule="auto"/>
      </w:pPr>
      <w:r>
        <w:rPr>
          <w:rFonts w:ascii="Aptos" w:hAnsi="Aptos" w:cs="Aptos" w:eastAsia="Aptos"/>
          <w:b/>
          <w:i w:val="0"/>
          <w:color w:val="7C8894"/>
          <w:sz w:val="21"/>
        </w:rPr>
        <w:t xml:space="preserve">5.1  </w:t>
      </w:r>
      <w:r>
        <w:rPr>
          <w:rFonts w:ascii="Aptos" w:hAnsi="Aptos" w:cs="Aptos" w:eastAsia="Aptos"/>
          <w:b/>
          <w:i w:val="0"/>
          <w:color w:val="35506B"/>
          <w:sz w:val="21"/>
        </w:rPr>
        <w:t>Conceitos operativos</w:t>
      </w:r>
    </w:p>
    <w:p>
      <w:pPr>
        <w:spacing w:before="0" w:after="140" w:line="293" w:lineRule="auto"/>
        <w:jc w:val="both"/>
      </w:pPr>
      <w:r>
        <w:rPr>
          <w:rFonts w:ascii="Aptos" w:hAnsi="Aptos" w:cs="Aptos" w:eastAsia="Aptos"/>
          <w:b w:val="0"/>
          <w:i w:val="0"/>
          <w:color w:val="2B2B2B"/>
          <w:sz w:val="20"/>
        </w:rPr>
        <w:t>O Regulamento não define criador. Regula estabelecimentos e operadores, e determina a sujeição pela colocação no mercado.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«Estabelecimento de criação», qualquer instalação ou estrutura, incluindo casas particulares, onde são mantidos cães ou gatos para fins de reprodução com vista à colocação da sua descendência no mercado.</w:t>
            </w:r>
          </w:p>
          <w:p>
            <w:pPr>
              <w:spacing w:before="0" w:after="80" w:line="293" w:lineRule="auto"/>
              <w:jc w:val="both"/>
            </w:pPr>
            <w:r>
              <w:rPr>
                <w:rFonts w:ascii="Aptos" w:hAnsi="Aptos" w:cs="Aptos" w:eastAsia="Aptos"/>
                <w:b w:val="0"/>
                <w:i/>
                <w:color w:val="2B2B2B"/>
                <w:sz w:val="19"/>
              </w:rPr>
              <w:t>«Operador», qualquer pessoa singular ou coletiva que coloca cães ou gatos no mercado e é responsável por um estabelecimento de criação, por um estabelecimento de venda ou por um abrigo e pelos cães ou gatos aí detidos, ou que coloca cães ou gatos num lar de acolhimento e é responsável pelos cães ou gatos aí detidos.</w:t>
            </w:r>
          </w:p>
          <w:p>
            <w:pPr>
              <w:spacing w:before="0" w:after="0" w:line="293" w:lineRule="auto"/>
              <w:jc w:val="both"/>
            </w:pPr>
            <w:r>
              <w:rPr>
                <w:rFonts w:ascii="Aptos" w:hAnsi="Aptos" w:cs="Aptos" w:eastAsia="Aptos"/>
                <w:b w:val="0"/>
                <w:i/>
                <w:color w:val="2B2B2B"/>
                <w:sz w:val="19"/>
              </w:rPr>
              <w:t>«Colocação no mercado», a venda, oferta para fins de venda, distribuição ou qualquer outra forma de transferência de propriedade ou responsabilidade relativa a cães e gatos, quer a título oneroso quer a título gratuito, assim como a publicidade de cães e gatos para esses fins, com exceção das doações ocasionais a intervalos irregulares por pessoas singulares que não sejam operadores sem publicidade em linha.</w:t>
            </w:r>
          </w:p>
          <w:p>
            <w:pPr>
              <w:spacing w:before="120" w:after="0" w:line="293" w:lineRule="auto"/>
            </w:pPr>
            <w:r>
              <w:rPr>
                <w:rFonts w:ascii="Aptos" w:hAnsi="Aptos" w:cs="Aptos" w:eastAsia="Aptos"/>
                <w:b w:val="0"/>
                <w:i w:val="0"/>
                <w:color w:val="7C8894"/>
                <w:sz w:val="15"/>
              </w:rPr>
              <w:t>Artigo 4.º do Regulamento (UE) 2026/1818</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A exceção final merece registo, por ser a única margem de informalidade que o direito da União contém em matéria de acesso: quem faça doações ocasionais, a intervalos irregulares e sem publicidade em linha, não coloca no mercado, não é operador e não está sujeito ao Capítulo II. Essa margem resulta do texto europeu e não de opção nacional. Permanece em apreciação interna se a legislação nacional deve fechá-la, ao abrigo do artigo 30.º.</w:t>
      </w:r>
    </w:p>
    <w:p>
      <w:pPr>
        <w:keepNext/>
        <w:spacing w:before="260" w:after="80" w:line="293" w:lineRule="auto"/>
      </w:pPr>
      <w:r>
        <w:rPr>
          <w:rFonts w:ascii="Aptos" w:hAnsi="Aptos" w:cs="Aptos" w:eastAsia="Aptos"/>
          <w:b/>
          <w:i w:val="0"/>
          <w:color w:val="7C8894"/>
          <w:sz w:val="21"/>
        </w:rPr>
        <w:t xml:space="preserve">5.2  </w:t>
      </w:r>
      <w:r>
        <w:rPr>
          <w:rFonts w:ascii="Aptos" w:hAnsi="Aptos" w:cs="Aptos" w:eastAsia="Aptos"/>
          <w:b/>
          <w:i w:val="0"/>
          <w:color w:val="35506B"/>
          <w:sz w:val="21"/>
        </w:rPr>
        <w:t>O regime reduzido do artigo 5.º</w:t>
      </w:r>
    </w:p>
    <w:p>
      <w:pPr>
        <w:spacing w:before="0" w:after="140" w:line="293" w:lineRule="auto"/>
        <w:jc w:val="both"/>
      </w:pPr>
      <w:r>
        <w:rPr>
          <w:rFonts w:ascii="Aptos" w:hAnsi="Aptos" w:cs="Aptos" w:eastAsia="Aptos"/>
          <w:b w:val="0"/>
          <w:i w:val="0"/>
          <w:color w:val="2B2B2B"/>
          <w:sz w:val="20"/>
        </w:rPr>
        <w:t>O artigo 5.º não exclui do Regulamento os estabelecimentos de criação de menor dimensão. Sujeita-os a uma lista positiva e taxativa de obrigações. Tudo o que dela não conste deixa de lhes ser exigível pelo direito da União.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0" w:line="293" w:lineRule="auto"/>
              <w:jc w:val="both"/>
            </w:pPr>
            <w:r>
              <w:rPr>
                <w:rFonts w:ascii="Aptos" w:hAnsi="Aptos" w:cs="Aptos" w:eastAsia="Aptos"/>
                <w:b w:val="0"/>
                <w:i/>
                <w:color w:val="2B2B2B"/>
                <w:sz w:val="19"/>
              </w:rPr>
              <w:t>1 — Um estabelecimento de criação em que não sejam produzidas mais de duas ninhadas por ano civil para colocação no mercado apenas está sujeito às obrigações previstas no artigo 6.º, no artigo 7.º, n.os 1, 3, 4 e 5, nos artigos 8.º, 9.º e 11.º, no artigo 14.º, n.os 2, 3 e 4, no artigo 15.º, n.os 3, 4 e 8, no artigo 16.º, n.º 1, alíneas b), c) e d), no artigo 17.º, n.º 2, 3, 5 e 7, no artigo 18.º, no artigo 19.º, n.º 1 e nos pontos 3 e 4.3 do anexo I.</w:t>
            </w:r>
          </w:p>
          <w:p>
            <w:pPr>
              <w:spacing w:before="120" w:after="0" w:line="293" w:lineRule="auto"/>
            </w:pPr>
            <w:r>
              <w:rPr>
                <w:rFonts w:ascii="Aptos" w:hAnsi="Aptos" w:cs="Aptos" w:eastAsia="Aptos"/>
                <w:b w:val="0"/>
                <w:i w:val="0"/>
                <w:color w:val="7C8894"/>
                <w:sz w:val="15"/>
              </w:rPr>
              <w:t>N.º 1 do artigo 5.º do Regulamento (UE) 2026/1818</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O quadro seguinte traduz essa lista. A leitura conjugada com o artigo 33.º impõe uma advertência: o regime reduzido dispensa obrigações de bem-estar substantivas, e não apenas formalidades.</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3137"/>
        <w:gridCol w:w="3137"/>
        <w:gridCol w:w="3137"/>
      </w:tblGrid>
      <w:tr>
        <w:trPr>
          <w:cantSplit/>
          <w:tblHeader/>
        </w:trPr>
        <w:tc>
          <w:tcPr>
            <w:tcW w:type="dxa" w:w="2494"/>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Disposição</w:t>
            </w:r>
          </w:p>
        </w:tc>
        <w:tc>
          <w:tcPr>
            <w:tcW w:type="dxa" w:w="5443"/>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Matéria</w:t>
            </w:r>
          </w:p>
        </w:tc>
        <w:tc>
          <w:tcPr>
            <w:tcW w:type="dxa" w:w="1474"/>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Até 2 ninhadas</w:t>
            </w:r>
          </w:p>
        </w:tc>
      </w:tr>
      <w:tr>
        <w:trPr>
          <w:cantSplit/>
        </w:trPr>
        <w:tc>
          <w:tcPr>
            <w:tcW w:type="dxa" w:w="249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6.º</w:t>
            </w:r>
          </w:p>
        </w:tc>
        <w:tc>
          <w:tcPr>
            <w:tcW w:type="dxa" w:w="544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Princípios gerais de bem-estar</w:t>
            </w:r>
          </w:p>
        </w:tc>
        <w:tc>
          <w:tcPr>
            <w:tcW w:type="dxa" w:w="1474"/>
            <w:tcBorders>
              <w:top w:val="nil"/>
              <w:left w:val="nil"/>
              <w:bottom w:val="single" w:sz="4" w:space="0" w:color="D7DEE5"/>
              <w:right w:val="nil"/>
            </w:tcBorders>
            <w:shd w:val="clear" w:color="auto" w:fill="EDF3ED"/>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Aplicável</w:t>
            </w:r>
          </w:p>
        </w:tc>
      </w:tr>
      <w:tr>
        <w:trPr>
          <w:cantSplit/>
        </w:trPr>
        <w:tc>
          <w:tcPr>
            <w:tcW w:type="dxa" w:w="249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7.º, n.os 1, 3, 4 e 5</w:t>
            </w:r>
          </w:p>
        </w:tc>
        <w:tc>
          <w:tcPr>
            <w:tcW w:type="dxa" w:w="544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Responsabilidade do operador; proibição de crueldade e de abandono; realojamento na cessação de atividade</w:t>
            </w:r>
          </w:p>
        </w:tc>
        <w:tc>
          <w:tcPr>
            <w:tcW w:type="dxa" w:w="1474"/>
            <w:tcBorders>
              <w:top w:val="nil"/>
              <w:left w:val="nil"/>
              <w:bottom w:val="single" w:sz="4" w:space="0" w:color="D7DEE5"/>
              <w:right w:val="nil"/>
            </w:tcBorders>
            <w:shd w:val="clear" w:color="auto" w:fill="EDF3ED"/>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Aplicável</w:t>
            </w:r>
          </w:p>
        </w:tc>
      </w:tr>
      <w:tr>
        <w:trPr>
          <w:cantSplit/>
        </w:trPr>
        <w:tc>
          <w:tcPr>
            <w:tcW w:type="dxa" w:w="249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7.º, n.os 6 e 7</w:t>
            </w:r>
          </w:p>
        </w:tc>
        <w:tc>
          <w:tcPr>
            <w:tcW w:type="dxa" w:w="544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Número suficiente de tratadores; monitorização por indicadores baseados nos animais</w:t>
            </w:r>
          </w:p>
        </w:tc>
        <w:tc>
          <w:tcPr>
            <w:tcW w:type="dxa" w:w="1474"/>
            <w:tcBorders>
              <w:top w:val="nil"/>
              <w:left w:val="nil"/>
              <w:bottom w:val="single" w:sz="4" w:space="0" w:color="D7DEE5"/>
              <w:right w:val="nil"/>
            </w:tcBorders>
            <w:shd w:val="clear" w:color="auto" w:fill="FAF0E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Não aplicável</w:t>
            </w:r>
          </w:p>
        </w:tc>
      </w:tr>
      <w:tr>
        <w:trPr>
          <w:cantSplit/>
        </w:trPr>
        <w:tc>
          <w:tcPr>
            <w:tcW w:type="dxa" w:w="249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8.º</w:t>
            </w:r>
          </w:p>
        </w:tc>
        <w:tc>
          <w:tcPr>
            <w:tcW w:type="dxa" w:w="544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Estratégia de criação; conformações extremas; consanguinidade; híbridos</w:t>
            </w:r>
          </w:p>
        </w:tc>
        <w:tc>
          <w:tcPr>
            <w:tcW w:type="dxa" w:w="1474"/>
            <w:tcBorders>
              <w:top w:val="nil"/>
              <w:left w:val="nil"/>
              <w:bottom w:val="single" w:sz="4" w:space="0" w:color="D7DEE5"/>
              <w:right w:val="nil"/>
            </w:tcBorders>
            <w:shd w:val="clear" w:color="auto" w:fill="EDF3ED"/>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Aplicável</w:t>
            </w:r>
          </w:p>
        </w:tc>
      </w:tr>
      <w:tr>
        <w:trPr>
          <w:cantSplit/>
        </w:trPr>
        <w:tc>
          <w:tcPr>
            <w:tcW w:type="dxa" w:w="249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9.º</w:t>
            </w:r>
          </w:p>
        </w:tc>
        <w:tc>
          <w:tcPr>
            <w:tcW w:type="dxa" w:w="544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Notificação e registo do estabelecimento</w:t>
            </w:r>
          </w:p>
        </w:tc>
        <w:tc>
          <w:tcPr>
            <w:tcW w:type="dxa" w:w="1474"/>
            <w:tcBorders>
              <w:top w:val="nil"/>
              <w:left w:val="nil"/>
              <w:bottom w:val="single" w:sz="4" w:space="0" w:color="D7DEE5"/>
              <w:right w:val="nil"/>
            </w:tcBorders>
            <w:shd w:val="clear" w:color="auto" w:fill="EDF3ED"/>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Aplicável</w:t>
            </w:r>
          </w:p>
        </w:tc>
      </w:tr>
      <w:tr>
        <w:trPr>
          <w:cantSplit/>
        </w:trPr>
        <w:tc>
          <w:tcPr>
            <w:tcW w:type="dxa" w:w="249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10.º</w:t>
            </w:r>
          </w:p>
        </w:tc>
        <w:tc>
          <w:tcPr>
            <w:tcW w:type="dxa" w:w="544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Aprovação do estabelecimento</w:t>
            </w:r>
          </w:p>
        </w:tc>
        <w:tc>
          <w:tcPr>
            <w:tcW w:type="dxa" w:w="1474"/>
            <w:tcBorders>
              <w:top w:val="nil"/>
              <w:left w:val="nil"/>
              <w:bottom w:val="single" w:sz="4" w:space="0" w:color="D7DEE5"/>
              <w:right w:val="nil"/>
            </w:tcBorders>
            <w:shd w:val="clear" w:color="auto" w:fill="FAF0E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Não aplicável</w:t>
            </w:r>
          </w:p>
        </w:tc>
      </w:tr>
      <w:tr>
        <w:trPr>
          <w:cantSplit/>
        </w:trPr>
        <w:tc>
          <w:tcPr>
            <w:tcW w:type="dxa" w:w="249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11.º</w:t>
            </w:r>
          </w:p>
        </w:tc>
        <w:tc>
          <w:tcPr>
            <w:tcW w:type="dxa" w:w="544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Informação ao adquirente e historial clínico e sanitário</w:t>
            </w:r>
          </w:p>
        </w:tc>
        <w:tc>
          <w:tcPr>
            <w:tcW w:type="dxa" w:w="1474"/>
            <w:tcBorders>
              <w:top w:val="nil"/>
              <w:left w:val="nil"/>
              <w:bottom w:val="single" w:sz="4" w:space="0" w:color="D7DEE5"/>
              <w:right w:val="nil"/>
            </w:tcBorders>
            <w:shd w:val="clear" w:color="auto" w:fill="EDF3ED"/>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Aplicável</w:t>
            </w:r>
          </w:p>
        </w:tc>
      </w:tr>
      <w:tr>
        <w:trPr>
          <w:cantSplit/>
        </w:trPr>
        <w:tc>
          <w:tcPr>
            <w:tcW w:type="dxa" w:w="249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12.º</w:t>
            </w:r>
          </w:p>
        </w:tc>
        <w:tc>
          <w:tcPr>
            <w:tcW w:type="dxa" w:w="544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Competências dos tratadores de animais</w:t>
            </w:r>
          </w:p>
        </w:tc>
        <w:tc>
          <w:tcPr>
            <w:tcW w:type="dxa" w:w="1474"/>
            <w:tcBorders>
              <w:top w:val="nil"/>
              <w:left w:val="nil"/>
              <w:bottom w:val="single" w:sz="4" w:space="0" w:color="D7DEE5"/>
              <w:right w:val="nil"/>
            </w:tcBorders>
            <w:shd w:val="clear" w:color="auto" w:fill="FAF0E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Não aplicável</w:t>
            </w:r>
          </w:p>
        </w:tc>
      </w:tr>
      <w:tr>
        <w:trPr>
          <w:cantSplit/>
        </w:trPr>
        <w:tc>
          <w:tcPr>
            <w:tcW w:type="dxa" w:w="249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13.º</w:t>
            </w:r>
          </w:p>
        </w:tc>
        <w:tc>
          <w:tcPr>
            <w:tcW w:type="dxa" w:w="544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Visitas de aconselhamento para assegurar o bem-estar</w:t>
            </w:r>
          </w:p>
        </w:tc>
        <w:tc>
          <w:tcPr>
            <w:tcW w:type="dxa" w:w="1474"/>
            <w:tcBorders>
              <w:top w:val="nil"/>
              <w:left w:val="nil"/>
              <w:bottom w:val="single" w:sz="4" w:space="0" w:color="D7DEE5"/>
              <w:right w:val="nil"/>
            </w:tcBorders>
            <w:shd w:val="clear" w:color="auto" w:fill="FAF0E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Não aplicável</w:t>
            </w:r>
          </w:p>
        </w:tc>
      </w:tr>
      <w:tr>
        <w:trPr>
          <w:cantSplit/>
        </w:trPr>
        <w:tc>
          <w:tcPr>
            <w:tcW w:type="dxa" w:w="249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14.º, n.os 2, 3 e 4</w:t>
            </w:r>
          </w:p>
        </w:tc>
        <w:tc>
          <w:tcPr>
            <w:tcW w:type="dxa" w:w="544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Água e alimento adequados; limpeza e conceção das instalações de alimentação</w:t>
            </w:r>
          </w:p>
        </w:tc>
        <w:tc>
          <w:tcPr>
            <w:tcW w:type="dxa" w:w="1474"/>
            <w:tcBorders>
              <w:top w:val="nil"/>
              <w:left w:val="nil"/>
              <w:bottom w:val="single" w:sz="4" w:space="0" w:color="D7DEE5"/>
              <w:right w:val="nil"/>
            </w:tcBorders>
            <w:shd w:val="clear" w:color="auto" w:fill="EDF3ED"/>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Aplicável</w:t>
            </w:r>
          </w:p>
        </w:tc>
      </w:tr>
      <w:tr>
        <w:trPr>
          <w:cantSplit/>
        </w:trPr>
        <w:tc>
          <w:tcPr>
            <w:tcW w:type="dxa" w:w="249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14.º, n.º 1, e anexo I, ponto 1</w:t>
            </w:r>
          </w:p>
        </w:tc>
        <w:tc>
          <w:tcPr>
            <w:tcW w:type="dxa" w:w="544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Frequência mínima de alimentação</w:t>
            </w:r>
          </w:p>
        </w:tc>
        <w:tc>
          <w:tcPr>
            <w:tcW w:type="dxa" w:w="1474"/>
            <w:tcBorders>
              <w:top w:val="nil"/>
              <w:left w:val="nil"/>
              <w:bottom w:val="single" w:sz="4" w:space="0" w:color="D7DEE5"/>
              <w:right w:val="nil"/>
            </w:tcBorders>
            <w:shd w:val="clear" w:color="auto" w:fill="FAF0E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Não aplicável</w:t>
            </w:r>
          </w:p>
        </w:tc>
      </w:tr>
      <w:tr>
        <w:trPr>
          <w:cantSplit/>
        </w:trPr>
        <w:tc>
          <w:tcPr>
            <w:tcW w:type="dxa" w:w="249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15.º, n.os 3, 4 e 8</w:t>
            </w:r>
          </w:p>
        </w:tc>
        <w:tc>
          <w:tcPr>
            <w:tcW w:type="dxa" w:w="544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Proibição de contentores; acesso diário ao exterior de pelo menos uma hora; ritmo circadiano</w:t>
            </w:r>
          </w:p>
        </w:tc>
        <w:tc>
          <w:tcPr>
            <w:tcW w:type="dxa" w:w="1474"/>
            <w:tcBorders>
              <w:top w:val="nil"/>
              <w:left w:val="nil"/>
              <w:bottom w:val="single" w:sz="4" w:space="0" w:color="D7DEE5"/>
              <w:right w:val="nil"/>
            </w:tcBorders>
            <w:shd w:val="clear" w:color="auto" w:fill="EDF3ED"/>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Aplicável</w:t>
            </w:r>
          </w:p>
        </w:tc>
      </w:tr>
      <w:tr>
        <w:trPr>
          <w:cantSplit/>
        </w:trPr>
        <w:tc>
          <w:tcPr>
            <w:tcW w:type="dxa" w:w="249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15.º, n.os 1, 2, 5, 6 e 7, e anexo I, ponto 2</w:t>
            </w:r>
          </w:p>
        </w:tc>
        <w:tc>
          <w:tcPr>
            <w:tcW w:type="dxa" w:w="544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Espaço disponível mínimo; temperatura das áreas de parto; iluminação; adequação e limpeza do edifício e do equipamento; zonas de descanso; proteção climática; gatis; zona termicamente neutra; aquecimento e arrefecimento</w:t>
            </w:r>
          </w:p>
        </w:tc>
        <w:tc>
          <w:tcPr>
            <w:tcW w:type="dxa" w:w="1474"/>
            <w:tcBorders>
              <w:top w:val="nil"/>
              <w:left w:val="nil"/>
              <w:bottom w:val="single" w:sz="4" w:space="0" w:color="D7DEE5"/>
              <w:right w:val="nil"/>
            </w:tcBorders>
            <w:shd w:val="clear" w:color="auto" w:fill="FAF0E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Não aplicável</w:t>
            </w:r>
          </w:p>
        </w:tc>
      </w:tr>
      <w:tr>
        <w:trPr>
          <w:cantSplit/>
        </w:trPr>
        <w:tc>
          <w:tcPr>
            <w:tcW w:type="dxa" w:w="249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16.º, n.º 1, als. b), c) e d)</w:t>
            </w:r>
          </w:p>
        </w:tc>
        <w:tc>
          <w:tcPr>
            <w:tcW w:type="dxa" w:w="544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Cuidados de saúde, isolamento de animais doentes e assistência médico-veterinária</w:t>
            </w:r>
          </w:p>
        </w:tc>
        <w:tc>
          <w:tcPr>
            <w:tcW w:type="dxa" w:w="1474"/>
            <w:tcBorders>
              <w:top w:val="nil"/>
              <w:left w:val="nil"/>
              <w:bottom w:val="single" w:sz="4" w:space="0" w:color="D7DEE5"/>
              <w:right w:val="nil"/>
            </w:tcBorders>
            <w:shd w:val="clear" w:color="auto" w:fill="EDF3ED"/>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Aplicável</w:t>
            </w:r>
          </w:p>
        </w:tc>
      </w:tr>
      <w:tr>
        <w:trPr>
          <w:cantSplit/>
        </w:trPr>
        <w:tc>
          <w:tcPr>
            <w:tcW w:type="dxa" w:w="249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16.º, n.º 1, al. a), e n.º 2</w:t>
            </w:r>
          </w:p>
        </w:tc>
        <w:tc>
          <w:tcPr>
            <w:tcW w:type="dxa" w:w="544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Inspeção dos animais pelos tratadores pelo menos uma vez por dia; medidas de proteção da saúde nos estabelecimentos de criação</w:t>
            </w:r>
          </w:p>
        </w:tc>
        <w:tc>
          <w:tcPr>
            <w:tcW w:type="dxa" w:w="1474"/>
            <w:tcBorders>
              <w:top w:val="nil"/>
              <w:left w:val="nil"/>
              <w:bottom w:val="single" w:sz="4" w:space="0" w:color="D7DEE5"/>
              <w:right w:val="nil"/>
            </w:tcBorders>
            <w:shd w:val="clear" w:color="auto" w:fill="FAF0E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Não aplicável</w:t>
            </w:r>
          </w:p>
        </w:tc>
      </w:tr>
      <w:tr>
        <w:trPr>
          <w:cantSplit/>
        </w:trPr>
        <w:tc>
          <w:tcPr>
            <w:tcW w:type="dxa" w:w="249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17.º, n.os 2, 3, 5 e 7</w:t>
            </w:r>
          </w:p>
        </w:tc>
        <w:tc>
          <w:tcPr>
            <w:tcW w:type="dxa" w:w="544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Não restrição dos movimentos naturais; proibição de amarrar por mais de uma hora; condições para comportamentos sociais; disponibilização de enriquecimentos</w:t>
            </w:r>
          </w:p>
        </w:tc>
        <w:tc>
          <w:tcPr>
            <w:tcW w:type="dxa" w:w="1474"/>
            <w:tcBorders>
              <w:top w:val="nil"/>
              <w:left w:val="nil"/>
              <w:bottom w:val="single" w:sz="4" w:space="0" w:color="D7DEE5"/>
              <w:right w:val="nil"/>
            </w:tcBorders>
            <w:shd w:val="clear" w:color="auto" w:fill="EDF3ED"/>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Aplicável</w:t>
            </w:r>
          </w:p>
        </w:tc>
      </w:tr>
      <w:tr>
        <w:trPr>
          <w:cantSplit/>
        </w:trPr>
        <w:tc>
          <w:tcPr>
            <w:tcW w:type="dxa" w:w="249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17.º, n.os 1 e 6, e anexo I, pontos 4.1 e 4.2</w:t>
            </w:r>
          </w:p>
        </w:tc>
        <w:tc>
          <w:tcPr>
            <w:tcW w:type="dxa" w:w="544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Especificações de socialização e de enriquecimento</w:t>
            </w:r>
          </w:p>
        </w:tc>
        <w:tc>
          <w:tcPr>
            <w:tcW w:type="dxa" w:w="1474"/>
            <w:tcBorders>
              <w:top w:val="nil"/>
              <w:left w:val="nil"/>
              <w:bottom w:val="single" w:sz="4" w:space="0" w:color="D7DEE5"/>
              <w:right w:val="nil"/>
            </w:tcBorders>
            <w:shd w:val="clear" w:color="auto" w:fill="FAF0E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Não aplicável</w:t>
            </w:r>
          </w:p>
        </w:tc>
      </w:tr>
      <w:tr>
        <w:trPr>
          <w:cantSplit/>
        </w:trPr>
        <w:tc>
          <w:tcPr>
            <w:tcW w:type="dxa" w:w="249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18.º</w:t>
            </w:r>
          </w:p>
        </w:tc>
        <w:tc>
          <w:tcPr>
            <w:tcW w:type="dxa" w:w="544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Práticas dolorosas e mutilações</w:t>
            </w:r>
          </w:p>
        </w:tc>
        <w:tc>
          <w:tcPr>
            <w:tcW w:type="dxa" w:w="1474"/>
            <w:tcBorders>
              <w:top w:val="nil"/>
              <w:left w:val="nil"/>
              <w:bottom w:val="single" w:sz="4" w:space="0" w:color="D7DEE5"/>
              <w:right w:val="nil"/>
            </w:tcBorders>
            <w:shd w:val="clear" w:color="auto" w:fill="EDF3ED"/>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Aplicável</w:t>
            </w:r>
          </w:p>
        </w:tc>
      </w:tr>
      <w:tr>
        <w:trPr>
          <w:cantSplit/>
        </w:trPr>
        <w:tc>
          <w:tcPr>
            <w:tcW w:type="dxa" w:w="249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19.º, n.º 1</w:t>
            </w:r>
          </w:p>
        </w:tc>
        <w:tc>
          <w:tcPr>
            <w:tcW w:type="dxa" w:w="544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Espetáculos, exposições e concursos de beleza</w:t>
            </w:r>
          </w:p>
        </w:tc>
        <w:tc>
          <w:tcPr>
            <w:tcW w:type="dxa" w:w="1474"/>
            <w:tcBorders>
              <w:top w:val="nil"/>
              <w:left w:val="nil"/>
              <w:bottom w:val="single" w:sz="4" w:space="0" w:color="D7DEE5"/>
              <w:right w:val="nil"/>
            </w:tcBorders>
            <w:shd w:val="clear" w:color="auto" w:fill="EDF3ED"/>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Aplicável</w:t>
            </w:r>
          </w:p>
        </w:tc>
      </w:tr>
      <w:tr>
        <w:trPr>
          <w:cantSplit/>
        </w:trPr>
        <w:tc>
          <w:tcPr>
            <w:tcW w:type="dxa" w:w="249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Anexo I, ponto 3</w:t>
            </w:r>
          </w:p>
        </w:tc>
        <w:tc>
          <w:tcPr>
            <w:tcW w:type="dxa" w:w="544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Limites reprodutivos: idade mínima, três ninhadas em dois anos, período de recuperação, duas cesarianas, exame veterinário em idade avançada</w:t>
            </w:r>
          </w:p>
        </w:tc>
        <w:tc>
          <w:tcPr>
            <w:tcW w:type="dxa" w:w="1474"/>
            <w:tcBorders>
              <w:top w:val="nil"/>
              <w:left w:val="nil"/>
              <w:bottom w:val="single" w:sz="4" w:space="0" w:color="D7DEE5"/>
              <w:right w:val="nil"/>
            </w:tcBorders>
            <w:shd w:val="clear" w:color="auto" w:fill="EDF3ED"/>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Aplicável</w:t>
            </w:r>
          </w:p>
        </w:tc>
      </w:tr>
      <w:tr>
        <w:trPr>
          <w:cantSplit/>
        </w:trPr>
        <w:tc>
          <w:tcPr>
            <w:tcW w:type="dxa" w:w="249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Anexo I, ponto 4.3</w:t>
            </w:r>
          </w:p>
        </w:tc>
        <w:tc>
          <w:tcPr>
            <w:tcW w:type="dxa" w:w="544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Idade mínima de separação das crias</w:t>
            </w:r>
          </w:p>
        </w:tc>
        <w:tc>
          <w:tcPr>
            <w:tcW w:type="dxa" w:w="1474"/>
            <w:tcBorders>
              <w:top w:val="nil"/>
              <w:left w:val="nil"/>
              <w:bottom w:val="single" w:sz="4" w:space="0" w:color="D7DEE5"/>
              <w:right w:val="nil"/>
            </w:tcBorders>
            <w:shd w:val="clear" w:color="auto" w:fill="EDF3ED"/>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Aplicável</w:t>
            </w:r>
          </w:p>
        </w:tc>
      </w:tr>
    </w:tbl>
    <w:p>
      <w:pPr>
        <w:spacing w:before="40" w:after="180" w:line="293" w:lineRule="auto"/>
      </w:pPr>
    </w:p>
    <w:p>
      <w:pPr>
        <w:keepNext/>
        <w:spacing w:before="260" w:after="80" w:line="293" w:lineRule="auto"/>
      </w:pPr>
      <w:r>
        <w:rPr>
          <w:rFonts w:ascii="Aptos" w:hAnsi="Aptos" w:cs="Aptos" w:eastAsia="Aptos"/>
          <w:b/>
          <w:i w:val="0"/>
          <w:color w:val="7C8894"/>
          <w:sz w:val="21"/>
        </w:rPr>
        <w:t xml:space="preserve">5.3  </w:t>
      </w:r>
      <w:r>
        <w:rPr>
          <w:rFonts w:ascii="Aptos" w:hAnsi="Aptos" w:cs="Aptos" w:eastAsia="Aptos"/>
          <w:b/>
          <w:i w:val="0"/>
          <w:color w:val="35506B"/>
          <w:sz w:val="21"/>
        </w:rPr>
        <w:t>O que não admite redução por escala</w:t>
      </w:r>
    </w:p>
    <w:p>
      <w:pPr>
        <w:spacing w:before="0" w:after="140" w:line="293" w:lineRule="auto"/>
        <w:jc w:val="both"/>
      </w:pPr>
      <w:r>
        <w:rPr>
          <w:rFonts w:ascii="Aptos" w:hAnsi="Aptos" w:cs="Aptos" w:eastAsia="Aptos"/>
          <w:b w:val="0"/>
          <w:i w:val="0"/>
          <w:color w:val="2B2B2B"/>
          <w:sz w:val="20"/>
        </w:rPr>
        <w:t>A epígrafe do artigo 5.º é «Isenções das obrigações definidas no presente capítulo». O seu âmbito esgota-se no Capítulo II. As obrigações de identificação e registo dos animais e de publicidade em linha integram o Capítulo III e aplicam-se sem qualquer modulação por dimensão do estabelecimento. É esta a resposta técnica à objeção de que um regime proporcional favoreceria o comércio ilegal.</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1 — Todos os cães e gatos detidos em estabelecimentos, colocados no mercado ou detidos por um proprietário de animais de companhia ou por qualquer outra pessoa singular ou coletiva devem ser identificados individualmente através de um único transponder injetável que contenha um circuito integrado legível que cumpra os requisitos estabelecidos no anexo II.</w:t>
            </w:r>
          </w:p>
          <w:p>
            <w:pPr>
              <w:spacing w:before="0" w:after="0" w:line="293" w:lineRule="auto"/>
              <w:jc w:val="both"/>
            </w:pPr>
            <w:r>
              <w:rPr>
                <w:rFonts w:ascii="Aptos" w:hAnsi="Aptos" w:cs="Aptos" w:eastAsia="Aptos"/>
                <w:b w:val="0"/>
                <w:i/>
                <w:color w:val="2B2B2B"/>
                <w:sz w:val="19"/>
              </w:rPr>
              <w:t>2 — Os operadores asseguram que os cães e gatos nascidos nos seus estabelecimentos sejam identificados individualmente no prazo de três meses após o seu nascimento e sempre antes da data da sua colocação no mercado.</w:t>
            </w:r>
          </w:p>
          <w:p>
            <w:pPr>
              <w:spacing w:before="120" w:after="0" w:line="293" w:lineRule="auto"/>
            </w:pPr>
            <w:r>
              <w:rPr>
                <w:rFonts w:ascii="Aptos" w:hAnsi="Aptos" w:cs="Aptos" w:eastAsia="Aptos"/>
                <w:b w:val="0"/>
                <w:i w:val="0"/>
                <w:color w:val="7C8894"/>
                <w:sz w:val="15"/>
              </w:rPr>
              <w:t>N.os 1 e 2 do artigo 20.º do Regulamento (UE) 2026/1818</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A universalidade do n.º 1 tem consequência prática relevante: mesmo quem beneficie da exceção das doações ocasionais está obrigado a identificar e a registar os animais. A margem de informalidade existente no direito da União respeita ao acesso à atividade, nunca à rastreabilidade do animal.</w:t>
      </w:r>
    </w:p>
    <w:p>
      <w:pPr>
        <w:keepNext/>
        <w:spacing w:before="260" w:after="80" w:line="293" w:lineRule="auto"/>
      </w:pPr>
      <w:r>
        <w:rPr>
          <w:rFonts w:ascii="Aptos" w:hAnsi="Aptos" w:cs="Aptos" w:eastAsia="Aptos"/>
          <w:b/>
          <w:i w:val="0"/>
          <w:color w:val="7C8894"/>
          <w:sz w:val="21"/>
        </w:rPr>
        <w:t xml:space="preserve">5.4  </w:t>
      </w:r>
      <w:r>
        <w:rPr>
          <w:rFonts w:ascii="Aptos" w:hAnsi="Aptos" w:cs="Aptos" w:eastAsia="Aptos"/>
          <w:b/>
          <w:i w:val="0"/>
          <w:color w:val="35506B"/>
          <w:sz w:val="21"/>
        </w:rPr>
        <w:t>Notificação, registo e aprovação</w:t>
      </w:r>
    </w:p>
    <w:p>
      <w:pPr>
        <w:spacing w:before="0" w:after="140" w:line="293" w:lineRule="auto"/>
        <w:jc w:val="both"/>
      </w:pPr>
      <w:r>
        <w:rPr>
          <w:rFonts w:ascii="Aptos" w:hAnsi="Aptos" w:cs="Aptos" w:eastAsia="Aptos"/>
          <w:b w:val="0"/>
          <w:i w:val="0"/>
          <w:color w:val="2B2B2B"/>
          <w:sz w:val="20"/>
        </w:rPr>
        <w:t>A notificação do estabelecimento é obrigação sem exceções, aplicável desde a primeira ninhada colocada no mercado. O seu conteúdo coincide, em larga medida, com o da mera comunicação prévia nacional, o que permite absorvê-la sem criar procedimento novo.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1 — Os operadores notificam as autoridades competentes da sua atividade, facultando pelo menos as seguintes informações para cada um dos seus estabelecimentos:</w:t>
            </w:r>
          </w:p>
          <w:p>
            <w:pPr>
              <w:spacing w:before="0" w:after="80" w:line="293" w:lineRule="auto"/>
              <w:jc w:val="both"/>
            </w:pPr>
            <w:r>
              <w:rPr>
                <w:rFonts w:ascii="Aptos" w:hAnsi="Aptos" w:cs="Aptos" w:eastAsia="Aptos"/>
                <w:b w:val="0"/>
                <w:i/>
                <w:color w:val="2B2B2B"/>
                <w:sz w:val="19"/>
              </w:rPr>
              <w:t>a) O nome, o endereço e dados de contacto do operador;</w:t>
            </w:r>
          </w:p>
          <w:p>
            <w:pPr>
              <w:spacing w:before="0" w:after="80" w:line="293" w:lineRule="auto"/>
              <w:jc w:val="both"/>
            </w:pPr>
            <w:r>
              <w:rPr>
                <w:rFonts w:ascii="Aptos" w:hAnsi="Aptos" w:cs="Aptos" w:eastAsia="Aptos"/>
                <w:b w:val="0"/>
                <w:i/>
                <w:color w:val="2B2B2B"/>
                <w:sz w:val="19"/>
              </w:rPr>
              <w:t>b) A localização do estabelecimento;</w:t>
            </w:r>
          </w:p>
          <w:p>
            <w:pPr>
              <w:spacing w:before="0" w:after="80" w:line="293" w:lineRule="auto"/>
              <w:jc w:val="both"/>
            </w:pPr>
            <w:r>
              <w:rPr>
                <w:rFonts w:ascii="Aptos" w:hAnsi="Aptos" w:cs="Aptos" w:eastAsia="Aptos"/>
                <w:b w:val="0"/>
                <w:i/>
                <w:color w:val="2B2B2B"/>
                <w:sz w:val="19"/>
              </w:rPr>
              <w:t>c) O tipo de estabelecimento: estabelecimento de criação, estabelecimento de venda, abrigo ou lar de acolhimento;</w:t>
            </w:r>
          </w:p>
          <w:p>
            <w:pPr>
              <w:spacing w:before="0" w:after="80" w:line="293" w:lineRule="auto"/>
              <w:jc w:val="both"/>
            </w:pPr>
            <w:r>
              <w:rPr>
                <w:rFonts w:ascii="Aptos" w:hAnsi="Aptos" w:cs="Aptos" w:eastAsia="Aptos"/>
                <w:b w:val="0"/>
                <w:i/>
                <w:color w:val="2B2B2B"/>
                <w:sz w:val="19"/>
              </w:rPr>
              <w:t>d) A espécie e, para os estabelecimentos de criação, as raças dos cães ou gatos detidos no estabelecimento;</w:t>
            </w:r>
          </w:p>
          <w:p>
            <w:pPr>
              <w:spacing w:before="0" w:after="80" w:line="293" w:lineRule="auto"/>
              <w:jc w:val="both"/>
            </w:pPr>
            <w:r>
              <w:rPr>
                <w:rFonts w:ascii="Aptos" w:hAnsi="Aptos" w:cs="Aptos" w:eastAsia="Aptos"/>
                <w:b w:val="0"/>
                <w:i/>
                <w:color w:val="2B2B2B"/>
                <w:sz w:val="19"/>
              </w:rPr>
              <w:t>e) A capacidade do estabelecimento, expressa em termos de número máximo de cães e gatos que podem ser detidos no estabelecimento;</w:t>
            </w:r>
          </w:p>
          <w:p>
            <w:pPr>
              <w:spacing w:before="0" w:after="0" w:line="293" w:lineRule="auto"/>
              <w:jc w:val="both"/>
            </w:pPr>
            <w:r>
              <w:rPr>
                <w:rFonts w:ascii="Aptos" w:hAnsi="Aptos" w:cs="Aptos" w:eastAsia="Aptos"/>
                <w:b w:val="0"/>
                <w:i/>
                <w:color w:val="2B2B2B"/>
                <w:sz w:val="19"/>
              </w:rPr>
              <w:t>f) No caso dos estabelecimentos de criação, o número estimado de ninhadas a colocar no mercado por ano.</w:t>
            </w:r>
          </w:p>
          <w:p>
            <w:pPr>
              <w:spacing w:before="120" w:after="0" w:line="293" w:lineRule="auto"/>
            </w:pPr>
            <w:r>
              <w:rPr>
                <w:rFonts w:ascii="Aptos" w:hAnsi="Aptos" w:cs="Aptos" w:eastAsia="Aptos"/>
                <w:b w:val="0"/>
                <w:i w:val="0"/>
                <w:color w:val="7C8894"/>
                <w:sz w:val="15"/>
              </w:rPr>
              <w:t>N.º 1 do artigo 9.º do Regulamento (UE) 2026/1818</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Acima dos limiares, o Regulamento exige aprovação prévia, e essa aprovação assenta em inspeção. Trata-se de controlo prévio ao local, e não de mera verificação documental.</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1 — Os operadores de estabelecimentos de criação que produzam ou tencionem produzir mais de cinco ninhadas por ano civil, ou que, a qualquer momento, detenham um total combinado de mais de cinco cadelas reprodutoras ou gatas reprodutoras, só podem colocar cães ou gatos no mercado após aprovação do seu estabelecimento de criação pela autoridade competente.</w:t>
            </w:r>
          </w:p>
          <w:p>
            <w:pPr>
              <w:spacing w:before="0" w:after="0" w:line="293" w:lineRule="auto"/>
              <w:jc w:val="both"/>
            </w:pPr>
            <w:r>
              <w:rPr>
                <w:rFonts w:ascii="Aptos" w:hAnsi="Aptos" w:cs="Aptos" w:eastAsia="Aptos"/>
                <w:b w:val="0"/>
                <w:i/>
                <w:color w:val="2B2B2B"/>
                <w:sz w:val="19"/>
              </w:rPr>
              <w:t>2 — A autoridade competente efetua inspeções no local para verificar se o estabelecimento de criação cumpre os requisitos do presente regulamento. Os Estados-Membros podem autorizar que estas inspeções sejam realizadas à distância, desde que o meio de comunicação à distância utilizado permita recolher provas suficientes para que a autoridade competente realize inspeções fiáveis. A autoridade competente só deve conceder certificados de aprovação a estabelecimentos de criação que cumpram os requisitos do presente regulamento.</w:t>
            </w:r>
          </w:p>
          <w:p>
            <w:pPr>
              <w:spacing w:before="120" w:after="0" w:line="293" w:lineRule="auto"/>
            </w:pPr>
            <w:r>
              <w:rPr>
                <w:rFonts w:ascii="Aptos" w:hAnsi="Aptos" w:cs="Aptos" w:eastAsia="Aptos"/>
                <w:b w:val="0"/>
                <w:i w:val="0"/>
                <w:color w:val="7C8894"/>
                <w:sz w:val="15"/>
              </w:rPr>
              <w:t>N.os 1 e 2 do artigo 10.º do Regulamento (UE) 2026/1818</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5.5  </w:t>
      </w:r>
      <w:r>
        <w:rPr>
          <w:rFonts w:ascii="Aptos" w:hAnsi="Aptos" w:cs="Aptos" w:eastAsia="Aptos"/>
          <w:b/>
          <w:i w:val="0"/>
          <w:color w:val="35506B"/>
          <w:sz w:val="21"/>
        </w:rPr>
        <w:t>Reprodução e crias</w:t>
      </w:r>
    </w:p>
    <w:p>
      <w:pPr>
        <w:spacing w:before="0" w:after="140" w:line="293" w:lineRule="auto"/>
        <w:jc w:val="both"/>
      </w:pPr>
      <w:r>
        <w:rPr>
          <w:rFonts w:ascii="Aptos" w:hAnsi="Aptos" w:cs="Aptos" w:eastAsia="Aptos"/>
          <w:b w:val="0"/>
          <w:i w:val="0"/>
          <w:color w:val="2B2B2B"/>
          <w:sz w:val="20"/>
        </w:rPr>
        <w:t>Os limites reprodutivos constam do ponto 3 do anexo I e aplicam-se integralmente aos estabelecimentos até duas ninhadas, tal como o artigo 8.º. É um dos domínios em que o regime reduzido não cede, e é também aquele em que o direito da União inova face ao regime nacional.</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4706"/>
        <w:gridCol w:w="4706"/>
      </w:tblGrid>
      <w:tr>
        <w:trPr>
          <w:cantSplit/>
          <w:tblHeader/>
        </w:trPr>
        <w:tc>
          <w:tcPr>
            <w:tcW w:type="dxa" w:w="2438"/>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Matéria</w:t>
            </w:r>
          </w:p>
        </w:tc>
        <w:tc>
          <w:tcPr>
            <w:tcW w:type="dxa" w:w="6973"/>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Regra</w:t>
            </w:r>
          </w:p>
        </w:tc>
      </w:tr>
      <w:tr>
        <w:trPr>
          <w:cantSplit/>
        </w:trPr>
        <w:tc>
          <w:tcPr>
            <w:tcW w:type="dxa" w:w="243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Início da reprodução</w:t>
            </w:r>
          </w:p>
        </w:tc>
        <w:tc>
          <w:tcPr>
            <w:tcW w:type="dxa" w:w="697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Gatas a partir dos 10 meses. Cadelas não antes do segundo cio.</w:t>
            </w:r>
          </w:p>
        </w:tc>
      </w:tr>
      <w:tr>
        <w:trPr>
          <w:cantSplit/>
        </w:trPr>
        <w:tc>
          <w:tcPr>
            <w:tcW w:type="dxa" w:w="243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Frequência</w:t>
            </w:r>
          </w:p>
        </w:tc>
        <w:tc>
          <w:tcPr>
            <w:tcW w:type="dxa" w:w="697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Máximo de três ninhadas, incluindo nados-mortos, num período de dois anos.</w:t>
            </w:r>
          </w:p>
        </w:tc>
      </w:tr>
      <w:tr>
        <w:trPr>
          <w:cantSplit/>
        </w:trPr>
        <w:tc>
          <w:tcPr>
            <w:tcW w:type="dxa" w:w="243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Recuperação</w:t>
            </w:r>
          </w:p>
        </w:tc>
        <w:tc>
          <w:tcPr>
            <w:tcW w:type="dxa" w:w="697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Período mínimo de um ano após três ninhadas em dois anos.</w:t>
            </w:r>
          </w:p>
        </w:tc>
      </w:tr>
      <w:tr>
        <w:trPr>
          <w:cantSplit/>
        </w:trPr>
        <w:tc>
          <w:tcPr>
            <w:tcW w:type="dxa" w:w="243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Cesarianas</w:t>
            </w:r>
          </w:p>
        </w:tc>
        <w:tc>
          <w:tcPr>
            <w:tcW w:type="dxa" w:w="697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 fêmea submetida a duas cesarianas deixa de ser utilizada para a reprodução.</w:t>
            </w:r>
          </w:p>
        </w:tc>
      </w:tr>
      <w:tr>
        <w:trPr>
          <w:cantSplit/>
        </w:trPr>
        <w:tc>
          <w:tcPr>
            <w:tcW w:type="dxa" w:w="243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Idade avançada</w:t>
            </w:r>
          </w:p>
        </w:tc>
        <w:tc>
          <w:tcPr>
            <w:tcW w:type="dxa" w:w="697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Exame físico e confirmação escrita de médico veterinário para cadelas com oito ou mais anos e gatas com seis ou mais anos.</w:t>
            </w:r>
          </w:p>
        </w:tc>
      </w:tr>
      <w:tr>
        <w:trPr>
          <w:cantSplit/>
        </w:trPr>
        <w:tc>
          <w:tcPr>
            <w:tcW w:type="dxa" w:w="243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Separação das crias</w:t>
            </w:r>
          </w:p>
        </w:tc>
        <w:tc>
          <w:tcPr>
            <w:tcW w:type="dxa" w:w="697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Cachorros: oito semanas. Gatinhos em estabelecimento de criação: doze semanas. Antecipação apenas por parecer escrito de médico veterinário.</w:t>
            </w:r>
          </w:p>
        </w:tc>
      </w:tr>
      <w:tr>
        <w:trPr>
          <w:cantSplit/>
        </w:trPr>
        <w:tc>
          <w:tcPr>
            <w:tcW w:type="dxa" w:w="243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Conformações extremas</w:t>
            </w:r>
          </w:p>
        </w:tc>
        <w:tc>
          <w:tcPr>
            <w:tcW w:type="dxa" w:w="6973"/>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Proibida a utilização para reprodução de animais com características de conformação extremas de elevado risco, com consulta prévia de médico veterinário ou pessoa qualificada independente.</w:t>
            </w:r>
          </w:p>
        </w:tc>
      </w:tr>
      <w:tr>
        <w:trPr>
          <w:cantSplit/>
        </w:trPr>
        <w:tc>
          <w:tcPr>
            <w:tcW w:type="dxa" w:w="243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Consanguinidade e híbridos</w:t>
            </w:r>
          </w:p>
        </w:tc>
        <w:tc>
          <w:tcPr>
            <w:tcW w:type="dxa" w:w="6973"/>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Proibida a reprodução entre progenitores e descendência, entre irmãos, entre meios-irmãos ou entre avós e netos, salvo aprovação para preservação de raças locais com património genético limitado. Proibida a reprodução para produção de híbridos.</w:t>
            </w:r>
          </w:p>
        </w:tc>
      </w:tr>
    </w:tbl>
    <w:p>
      <w:pPr>
        <w:spacing w:before="40" w:after="180" w:line="293" w:lineRule="auto"/>
      </w:pPr>
    </w:p>
    <w:p>
      <w:pPr>
        <w:keepNext/>
        <w:spacing w:before="260" w:after="80" w:line="293" w:lineRule="auto"/>
      </w:pPr>
      <w:r>
        <w:rPr>
          <w:rFonts w:ascii="Aptos" w:hAnsi="Aptos" w:cs="Aptos" w:eastAsia="Aptos"/>
          <w:b/>
          <w:i w:val="0"/>
          <w:color w:val="7C8894"/>
          <w:sz w:val="21"/>
        </w:rPr>
        <w:t xml:space="preserve">5.6  </w:t>
      </w:r>
      <w:r>
        <w:rPr>
          <w:rFonts w:ascii="Aptos" w:hAnsi="Aptos" w:cs="Aptos" w:eastAsia="Aptos"/>
          <w:b/>
          <w:i w:val="0"/>
          <w:color w:val="35506B"/>
          <w:sz w:val="21"/>
        </w:rPr>
        <w:t>Calendário de aplicação</w:t>
      </w:r>
    </w:p>
    <w:p>
      <w:pPr>
        <w:spacing w:before="0" w:after="140" w:line="293" w:lineRule="auto"/>
        <w:jc w:val="both"/>
      </w:pPr>
      <w:r>
        <w:rPr>
          <w:rFonts w:ascii="Aptos" w:hAnsi="Aptos" w:cs="Aptos" w:eastAsia="Aptos"/>
          <w:b w:val="0"/>
          <w:i w:val="0"/>
          <w:color w:val="2B2B2B"/>
          <w:sz w:val="20"/>
        </w:rPr>
        <w:t>O Regulamento é hoje direito vigente, mas quase nenhuma das suas obrigações é ainda exigível. A distinção entre entrada em vigor e início de aplicação é essencial para situar corretamente o debate e para calendarizar a adaptação nacional.</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4706"/>
        <w:gridCol w:w="4706"/>
      </w:tblGrid>
      <w:tr>
        <w:trPr>
          <w:cantSplit/>
          <w:tblHeader/>
        </w:trPr>
        <w:tc>
          <w:tcPr>
            <w:tcW w:type="dxa" w:w="1587"/>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Data</w:t>
            </w:r>
          </w:p>
        </w:tc>
        <w:tc>
          <w:tcPr>
            <w:tcW w:type="dxa" w:w="7824"/>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Disposições</w:t>
            </w:r>
          </w:p>
        </w:tc>
      </w:tr>
      <w:tr>
        <w:trPr>
          <w:cantSplit/>
        </w:trPr>
        <w:tc>
          <w:tcPr>
            <w:tcW w:type="dxa" w:w="1587"/>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31.08.2028</w:t>
            </w:r>
          </w:p>
        </w:tc>
        <w:tc>
          <w:tcPr>
            <w:tcW w:type="dxa" w:w="782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Regra geral, incluindo o artigo 5.º, o artigo 9.º (notificação e registo de estabelecimentos), o artigo 20.º (identificação e registo dos animais) e o anexo I, ponto 3 (limites reprodutivos). Termo do prazo do n.º 2 do artigo 30.º para comunicação das regras nacionais mais restritivas.</w:t>
            </w:r>
          </w:p>
        </w:tc>
      </w:tr>
      <w:tr>
        <w:trPr>
          <w:cantSplit/>
        </w:trPr>
        <w:tc>
          <w:tcPr>
            <w:tcW w:type="dxa" w:w="1587"/>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31.08.2029</w:t>
            </w:r>
          </w:p>
        </w:tc>
        <w:tc>
          <w:tcPr>
            <w:tcW w:type="dxa" w:w="782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16.º (saúde).</w:t>
            </w:r>
          </w:p>
        </w:tc>
      </w:tr>
      <w:tr>
        <w:trPr>
          <w:cantSplit/>
        </w:trPr>
        <w:tc>
          <w:tcPr>
            <w:tcW w:type="dxa" w:w="1587"/>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01.07.2030</w:t>
            </w:r>
          </w:p>
        </w:tc>
        <w:tc>
          <w:tcPr>
            <w:tcW w:type="dxa" w:w="782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8.º, n.º 2 (conformações extremas). Artigo 21.º, n.º 3, e artigo 23.º, n.º 1, a partir de 31.08.2030.</w:t>
            </w:r>
          </w:p>
        </w:tc>
      </w:tr>
      <w:tr>
        <w:trPr>
          <w:cantSplit/>
        </w:trPr>
        <w:tc>
          <w:tcPr>
            <w:tcW w:type="dxa" w:w="1587"/>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31.08.2031</w:t>
            </w:r>
          </w:p>
        </w:tc>
        <w:tc>
          <w:tcPr>
            <w:tcW w:type="dxa" w:w="782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15.º (alojamento) e, com ele, o anexo I, ponto 2 (espaço, temperatura e iluminação). Artigo 22.º, n.º 1, als. a), b) e c); artigo 23.º, n.os 3 e 4; artigo 26.º, n.os 1, 2 e 3.</w:t>
            </w:r>
          </w:p>
        </w:tc>
      </w:tr>
      <w:tr>
        <w:trPr>
          <w:cantSplit/>
        </w:trPr>
        <w:tc>
          <w:tcPr>
            <w:tcW w:type="dxa" w:w="1587"/>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31.08.2033</w:t>
            </w:r>
          </w:p>
        </w:tc>
        <w:tc>
          <w:tcPr>
            <w:tcW w:type="dxa" w:w="782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12.º, n.os 2 e 3 (competências dos tratadores).</w:t>
            </w:r>
          </w:p>
        </w:tc>
      </w:tr>
      <w:tr>
        <w:trPr>
          <w:cantSplit/>
        </w:trPr>
        <w:tc>
          <w:tcPr>
            <w:tcW w:type="dxa" w:w="1587"/>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31.08.2034</w:t>
            </w:r>
          </w:p>
        </w:tc>
        <w:tc>
          <w:tcPr>
            <w:tcW w:type="dxa" w:w="7824"/>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10.º (aprovação dos estabelecimentos acima dos limiares).</w:t>
            </w:r>
          </w:p>
        </w:tc>
      </w:tr>
      <w:tr>
        <w:trPr>
          <w:cantSplit/>
        </w:trPr>
        <w:tc>
          <w:tcPr>
            <w:tcW w:type="dxa" w:w="1587"/>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01.07.2036</w:t>
            </w:r>
          </w:p>
        </w:tc>
        <w:tc>
          <w:tcPr>
            <w:tcW w:type="dxa" w:w="7824"/>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Artigo 8.º, n.º 1 (genótipos). Artigo 26.º, n.º 4, a partir de 31.08.2036.</w:t>
            </w:r>
          </w:p>
        </w:tc>
      </w:tr>
    </w:tbl>
    <w:p>
      <w:pPr>
        <w:spacing w:before="4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19"/>
              </w:rPr>
              <w:t xml:space="preserve">O regime de aprovação previsto no artigo 10.º, que constitui o escalão superior do modelo proposto no ponto 7, só é aplicável a partir de </w:t>
            </w:r>
            <w:r>
              <w:rPr>
                <w:rFonts w:ascii="Aptos" w:hAnsi="Aptos" w:cs="Aptos" w:eastAsia="Aptos"/>
                <w:b/>
                <w:i w:val="0"/>
                <w:color w:val="2B2B2B"/>
                <w:sz w:val="19"/>
              </w:rPr>
              <w:t>31 de agosto de 2034</w:t>
            </w:r>
            <w:r>
              <w:rPr>
                <w:rFonts w:ascii="Aptos" w:hAnsi="Aptos" w:cs="Aptos" w:eastAsia="Aptos"/>
                <w:b w:val="0"/>
                <w:i w:val="0"/>
                <w:color w:val="2B2B2B"/>
                <w:sz w:val="19"/>
              </w:rPr>
              <w:t>. Até lá, o controlo dos estabelecimentos de maior dimensão assenta no direito nacional, designadamente na permissão administrativa e nos controlos oficiais realizados nos termos do Regulamento (UE) 2017/625.</w:t>
            </w:r>
          </w:p>
        </w:tc>
      </w:tr>
    </w:tbl>
    <w:p>
      <w:pPr>
        <w:spacing w:before="0" w:after="180" w:line="293" w:lineRule="auto"/>
      </w:pPr>
    </w:p>
    <w:p>
      <w:pPr>
        <w:keepNext/>
        <w:spacing w:before="360" w:after="40" w:line="293" w:lineRule="auto"/>
      </w:pPr>
      <w:r>
        <w:rPr>
          <w:rFonts w:ascii="Aptos" w:hAnsi="Aptos" w:cs="Aptos" w:eastAsia="Aptos"/>
          <w:b/>
          <w:i w:val="0"/>
          <w:color w:val="5C7891"/>
          <w:sz w:val="27"/>
        </w:rPr>
        <w:t xml:space="preserve">6.  </w:t>
      </w:r>
      <w:r>
        <w:rPr>
          <w:rFonts w:ascii="Aptos" w:hAnsi="Aptos" w:cs="Aptos" w:eastAsia="Aptos"/>
          <w:b/>
          <w:i w:val="0"/>
          <w:color w:val="35506B"/>
          <w:sz w:val="27"/>
        </w:rPr>
        <w:t>Projeto de Regime Geral do Animal de Companhia</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O projeto consolida o regime nacional e adapta os procedimentos ao Regulamento. Na versão de trabalho em apreciação, mantém os dois títulos de acesso existentes e redistribui-os em função da escala, no sentido do agravamento.</w:t>
      </w:r>
    </w:p>
    <w:p>
      <w:pPr>
        <w:keepNext/>
        <w:spacing w:before="260" w:after="80" w:line="293" w:lineRule="auto"/>
      </w:pPr>
      <w:r>
        <w:rPr>
          <w:rFonts w:ascii="Aptos" w:hAnsi="Aptos" w:cs="Aptos" w:eastAsia="Aptos"/>
          <w:b/>
          <w:i w:val="0"/>
          <w:color w:val="7C8894"/>
          <w:sz w:val="21"/>
        </w:rPr>
        <w:t xml:space="preserve">6.1  </w:t>
      </w:r>
      <w:r>
        <w:rPr>
          <w:rFonts w:ascii="Aptos" w:hAnsi="Aptos" w:cs="Aptos" w:eastAsia="Aptos"/>
          <w:b/>
          <w:i w:val="0"/>
          <w:color w:val="35506B"/>
          <w:sz w:val="21"/>
        </w:rPr>
        <w:t>Títulos de acesso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1 — Sem prejuízo do disposto no Decreto-Lei n.º 48/2011, de 1 de abril, alterado pelo Decreto-Lei n.º 10/2015, de 16 de janeiro, quanto aos estabelecimentos de comércio a retalho de animais de companhia, o exercício da atividade de exploração de estabelecimentos depende de:</w:t>
            </w:r>
          </w:p>
          <w:p>
            <w:pPr>
              <w:spacing w:before="0" w:after="80" w:line="293" w:lineRule="auto"/>
              <w:jc w:val="both"/>
            </w:pPr>
            <w:r>
              <w:rPr>
                <w:rFonts w:ascii="Aptos" w:hAnsi="Aptos" w:cs="Aptos" w:eastAsia="Aptos"/>
                <w:b w:val="0"/>
                <w:i/>
                <w:color w:val="2B2B2B"/>
                <w:sz w:val="19"/>
              </w:rPr>
              <w:t>a) Mera comunicação prévia, no caso dos centros de recolha oficial, abrigos, estabelecimentos de reprodução e criação, e de manutenção, com exceção dos destinados exclusivamente à venda, sem prejuízo do disposto na alínea seguinte;</w:t>
            </w:r>
          </w:p>
          <w:p>
            <w:pPr>
              <w:spacing w:before="0" w:after="0" w:line="293" w:lineRule="auto"/>
              <w:jc w:val="both"/>
            </w:pPr>
            <w:r>
              <w:rPr>
                <w:rFonts w:ascii="Aptos" w:hAnsi="Aptos" w:cs="Aptos" w:eastAsia="Aptos"/>
                <w:b w:val="0"/>
                <w:i/>
                <w:color w:val="2B2B2B"/>
                <w:sz w:val="19"/>
              </w:rPr>
              <w:t>b) Permissão administrativa, no caso dos estabelecimentos destinados à reprodução e criação de animais potencialmente perigosos, nomeadamente de cães das raças consideradas como potencialmente perigosas, bem como, os estabelecimentos de criação que produzam ou tencionem produzir mais de cinco ninhadas por ano civil, ou que, a qualquer momento, detenham um total combinado de mais de cinco cadelas ou gatas reprodutoras.</w:t>
            </w:r>
          </w:p>
          <w:p>
            <w:pPr>
              <w:spacing w:before="120" w:after="0" w:line="293" w:lineRule="auto"/>
            </w:pPr>
            <w:r>
              <w:rPr>
                <w:rFonts w:ascii="Aptos" w:hAnsi="Aptos" w:cs="Aptos" w:eastAsia="Aptos"/>
                <w:b w:val="0"/>
                <w:i w:val="0"/>
                <w:color w:val="7C8894"/>
                <w:sz w:val="15"/>
              </w:rPr>
              <w:t>N.º 1 do artigo 45.º do projeto de RGAC, 1.ª revisão formal da DAJA, versão de trabalho de junho de 2026</w:t>
            </w:r>
          </w:p>
        </w:tc>
      </w:tr>
    </w:tbl>
    <w:p>
      <w:pPr>
        <w:spacing w:before="0" w:after="180" w:line="293" w:lineRule="auto"/>
      </w:pPr>
    </w:p>
    <w:p>
      <w:pPr>
        <w:spacing w:before="0" w:after="140" w:line="293" w:lineRule="auto"/>
        <w:jc w:val="both"/>
      </w:pPr>
      <w:r>
        <w:rPr>
          <w:rFonts w:ascii="Aptos" w:hAnsi="Aptos" w:cs="Aptos" w:eastAsia="Aptos"/>
          <w:b w:val="0"/>
          <w:i w:val="0"/>
          <w:color w:val="2B2B2B"/>
          <w:sz w:val="20"/>
        </w:rPr>
        <w:t>O projeto absorve o artigo 9.º do Regulamento na mera comunicação prévia e o artigo 10.º na permissão administrativa. Não cria figura nova. O efeito líquido, face ao direito vigente, é de agravamento: estabelecimentos hoje sujeitos a mera comunicação prévia passam a carecer de permissão administrativa quando ultrapassem os limiares europeus.</w:t>
      </w:r>
    </w:p>
    <w:p>
      <w:pPr>
        <w:keepNext/>
        <w:spacing w:before="260" w:after="80" w:line="293" w:lineRule="auto"/>
      </w:pPr>
      <w:r>
        <w:rPr>
          <w:rFonts w:ascii="Aptos" w:hAnsi="Aptos" w:cs="Aptos" w:eastAsia="Aptos"/>
          <w:b/>
          <w:i w:val="0"/>
          <w:color w:val="7C8894"/>
          <w:sz w:val="21"/>
        </w:rPr>
        <w:t xml:space="preserve">6.2  </w:t>
      </w:r>
      <w:r>
        <w:rPr>
          <w:rFonts w:ascii="Aptos" w:hAnsi="Aptos" w:cs="Aptos" w:eastAsia="Aptos"/>
          <w:b/>
          <w:i w:val="0"/>
          <w:color w:val="35506B"/>
          <w:sz w:val="21"/>
        </w:rPr>
        <w:t>A opção mais restritiva e o artigo 30.º</w:t>
      </w:r>
    </w:p>
    <w:p>
      <w:pPr>
        <w:spacing w:before="0" w:after="140" w:line="293" w:lineRule="auto"/>
        <w:jc w:val="both"/>
      </w:pPr>
      <w:r>
        <w:rPr>
          <w:rFonts w:ascii="Aptos" w:hAnsi="Aptos" w:cs="Aptos" w:eastAsia="Aptos"/>
          <w:b w:val="0"/>
          <w:i w:val="0"/>
          <w:color w:val="2B2B2B"/>
          <w:sz w:val="20"/>
        </w:rPr>
        <w:t>A versão de trabalho do projeto não contém a redução do artigo 5.º. A expressão «duas ninhadas» não ocorre no seu articulado. A consequência é que todas as obrigações de bem-estar e de rastreabilidade se aplicam a qualquer estabelecimento de criação, independentemente do número de ninhadas ou de fêmeas reprodutoras. Trata-se de uma opção deliberada, que o Regulamento expressamente comporta.</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A9C2D8"/>
              <w:bottom w:val="nil"/>
              <w:right w:val="nil"/>
            </w:tcBorders>
            <w:shd w:val="clear" w:color="auto" w:fill="F3F6F9"/>
            <w:tcMar>
              <w:top w:w="130" w:type="dxa"/>
              <w:bottom w:w="130" w:type="dxa"/>
              <w:left w:w="200" w:type="dxa"/>
              <w:right w:w="180" w:type="dxa"/>
            </w:tcMar>
          </w:tcPr>
          <w:p>
            <w:pPr>
              <w:spacing w:before="0" w:after="80" w:line="293" w:lineRule="auto"/>
              <w:jc w:val="both"/>
            </w:pPr>
            <w:r>
              <w:rPr>
                <w:rFonts w:ascii="Aptos" w:hAnsi="Aptos" w:cs="Aptos" w:eastAsia="Aptos"/>
                <w:b w:val="0"/>
                <w:i/>
                <w:color w:val="2B2B2B"/>
                <w:sz w:val="19"/>
              </w:rPr>
              <w:t>1 — O presente regulamento não obsta a que os Estados-Membros mantenham ou adotem regras nacionais mais restritivas que visem uma proteção mais ampla do bem-estar dos cães e gatos detidos em estabelecimentos e uma maior rastreabilidade dos cães e gatos, desde que essas regras não sejam incompatíveis com o presente regulamento e não interfiram com o correto funcionamento do mercado interno.</w:t>
            </w:r>
          </w:p>
          <w:p>
            <w:pPr>
              <w:spacing w:before="0" w:after="0" w:line="293" w:lineRule="auto"/>
              <w:jc w:val="both"/>
            </w:pPr>
            <w:r>
              <w:rPr>
                <w:rFonts w:ascii="Aptos" w:hAnsi="Aptos" w:cs="Aptos" w:eastAsia="Aptos"/>
                <w:b w:val="0"/>
                <w:i/>
                <w:color w:val="2B2B2B"/>
                <w:sz w:val="19"/>
              </w:rPr>
              <w:t>2 — Os Estados-Membros informam, até 31 de agosto de 2028, a Comissão acerca de quaisquer regras nacionais mais restritivas que tencionem manter em conformidade com o n.º 1 do presente artigo.</w:t>
            </w:r>
          </w:p>
          <w:p>
            <w:pPr>
              <w:spacing w:before="120" w:after="0" w:line="293" w:lineRule="auto"/>
            </w:pPr>
            <w:r>
              <w:rPr>
                <w:rFonts w:ascii="Aptos" w:hAnsi="Aptos" w:cs="Aptos" w:eastAsia="Aptos"/>
                <w:b w:val="0"/>
                <w:i w:val="0"/>
                <w:color w:val="7C8894"/>
                <w:sz w:val="15"/>
              </w:rPr>
              <w:t>N.os 1 e 2 do artigo 30.º do Regulamento (UE) 2026/1818</w:t>
            </w:r>
          </w:p>
        </w:tc>
      </w:tr>
    </w:tbl>
    <w:p>
      <w:pPr>
        <w:spacing w:before="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 xml:space="preserve">Duas consequências devem ser retidas. Primeira: a não concessão da redução do artigo 5.º é uma regra nacional mais restritiva e </w:t>
            </w:r>
            <w:r>
              <w:rPr>
                <w:rFonts w:ascii="Aptos" w:hAnsi="Aptos" w:cs="Aptos" w:eastAsia="Aptos"/>
                <w:b/>
                <w:i w:val="0"/>
                <w:color w:val="2B2B2B"/>
                <w:sz w:val="20"/>
              </w:rPr>
              <w:t>carece de comunicação à Comissão até 31 de agosto de 2028</w:t>
            </w:r>
            <w:r>
              <w:rPr>
                <w:rFonts w:ascii="Aptos" w:hAnsi="Aptos" w:cs="Aptos" w:eastAsia="Aptos"/>
                <w:b w:val="0"/>
                <w:i w:val="0"/>
                <w:color w:val="2B2B2B"/>
                <w:sz w:val="20"/>
              </w:rPr>
              <w:t>. Segunda: qualquer aligeiramento que venha a ser ponderado quanto a instalações parte de um patamar nacional já superior ao europeu, e não de uma derrogação ao direito da União.</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6.3  </w:t>
      </w:r>
      <w:r>
        <w:rPr>
          <w:rFonts w:ascii="Aptos" w:hAnsi="Aptos" w:cs="Aptos" w:eastAsia="Aptos"/>
          <w:b/>
          <w:i w:val="0"/>
          <w:color w:val="35506B"/>
          <w:sz w:val="21"/>
        </w:rPr>
        <w:t>Matérias por consolidar</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Atualização das remissões internas e das referências ao Regulamento, hoje provisórias no articulado.</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Harmonização entre os limites reprodutivos do anexo I do Regulamento e as opções do anexo técnico nacional.</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Coerência entre a proibição de contentores do n.º 3 do artigo 15.º do Regulamento e as tabelas nacionais que ainda empregam a expressão «gaiola».</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Articulação da definição de criador com o regime de registo. A definição em projeto conserva a referência a atividade comercial, que é incompatível com o propósito assumido de abandonar o critério do fim lucrativo.</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Decisão quanto à exceção das doações ocasionais na definição de colocação no mercado, que o projeto transcreve do Regulamento e que constitui a única margem de informalidade em matéria de acesso.</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Delimitação dos requisitos estruturais suscetíveis de equivalência funcional, nos termos do ponto 7.3.</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19"/>
              </w:rPr>
              <w:t>A hipótese de caducidade quinquenal do registo, por vezes referida a propósito deste projeto, não constitui matéria do articulado. Consta de uma nota de trabalho dirigida ao serviço jurídico, que propõe ponderar um regime de renovação da comunicação ou da permissão ao fim de cinco anos, com a finalidade de manter a lista de estabelecimentos atualizada para efeitos de afetação de meios em situações de catástrofe ou emergência. Deve ser tratada como questão de desenho registral, não como requisito de acesso à atividade.</w:t>
            </w:r>
          </w:p>
        </w:tc>
      </w:tr>
    </w:tbl>
    <w:p>
      <w:pPr>
        <w:spacing w:before="0" w:after="180" w:line="293" w:lineRule="auto"/>
      </w:pPr>
    </w:p>
    <w:p>
      <w:pPr>
        <w:keepNext/>
        <w:spacing w:before="360" w:after="40" w:line="293" w:lineRule="auto"/>
      </w:pPr>
      <w:r>
        <w:rPr>
          <w:rFonts w:ascii="Aptos" w:hAnsi="Aptos" w:cs="Aptos" w:eastAsia="Aptos"/>
          <w:b/>
          <w:i w:val="0"/>
          <w:color w:val="5C7891"/>
          <w:sz w:val="27"/>
        </w:rPr>
        <w:t xml:space="preserve">7.  </w:t>
      </w:r>
      <w:r>
        <w:rPr>
          <w:rFonts w:ascii="Aptos" w:hAnsi="Aptos" w:cs="Aptos" w:eastAsia="Aptos"/>
          <w:b/>
          <w:i w:val="0"/>
          <w:color w:val="35506B"/>
          <w:sz w:val="27"/>
        </w:rPr>
        <w:t>Modelo nacional</w:t>
      </w:r>
    </w:p>
    <w:p>
      <w:pPr>
        <w:keepNext/>
        <w:pBdr>
          <w:bottom w:val="single" w:sz="4" w:space="1" w:color="D7DEE5"/>
        </w:pBdr>
        <w:spacing w:before="0" w:after="160" w:line="40" w:lineRule="exact"/>
      </w:pPr>
    </w:p>
    <w:p>
      <w:pPr>
        <w:keepNext/>
        <w:spacing w:before="260" w:after="80" w:line="293" w:lineRule="auto"/>
      </w:pPr>
      <w:r>
        <w:rPr>
          <w:rFonts w:ascii="Aptos" w:hAnsi="Aptos" w:cs="Aptos" w:eastAsia="Aptos"/>
          <w:b/>
          <w:i w:val="0"/>
          <w:color w:val="7C8894"/>
          <w:sz w:val="21"/>
        </w:rPr>
        <w:t xml:space="preserve">7.1  </w:t>
      </w:r>
      <w:r>
        <w:rPr>
          <w:rFonts w:ascii="Aptos" w:hAnsi="Aptos" w:cs="Aptos" w:eastAsia="Aptos"/>
          <w:b/>
          <w:i w:val="0"/>
          <w:color w:val="35506B"/>
          <w:sz w:val="21"/>
        </w:rPr>
        <w:t>Escalões</w:t>
      </w:r>
    </w:p>
    <w:p>
      <w:pPr>
        <w:spacing w:before="0" w:after="140" w:line="293" w:lineRule="auto"/>
        <w:jc w:val="both"/>
      </w:pPr>
      <w:r>
        <w:rPr>
          <w:rFonts w:ascii="Aptos" w:hAnsi="Aptos" w:cs="Aptos" w:eastAsia="Aptos"/>
          <w:b w:val="0"/>
          <w:i w:val="0"/>
          <w:color w:val="2B2B2B"/>
          <w:sz w:val="20"/>
        </w:rPr>
        <w:t>O Regulamento estabelece dois patamares: o regime reduzido do artigo 5.º e a aprovação do artigo 10.º. O escalão intermédio do quadro seguinte é construção nacional, destinada a tornar visível a faixa que, não beneficiando da redução europeia, também não atinge os limiares de aprovação. Em todos os escalões o título de acesso gera número de identificação e publicitação, e em todos se aplica o direito nacional.</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2353"/>
        <w:gridCol w:w="2353"/>
        <w:gridCol w:w="2353"/>
        <w:gridCol w:w="2353"/>
      </w:tblGrid>
      <w:tr>
        <w:trPr>
          <w:cantSplit/>
          <w:tblHeader/>
        </w:trPr>
        <w:tc>
          <w:tcPr>
            <w:tcW w:type="dxa" w:w="1701"/>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Escalão</w:t>
            </w:r>
          </w:p>
        </w:tc>
        <w:tc>
          <w:tcPr>
            <w:tcW w:type="dxa" w:w="2438"/>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Critério</w:t>
            </w:r>
          </w:p>
        </w:tc>
        <w:tc>
          <w:tcPr>
            <w:tcW w:type="dxa" w:w="2268"/>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Título de acesso</w:t>
            </w:r>
          </w:p>
        </w:tc>
        <w:tc>
          <w:tcPr>
            <w:tcW w:type="dxa" w:w="3005"/>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Regime material</w:t>
            </w:r>
          </w:p>
        </w:tc>
      </w:tr>
      <w:tr>
        <w:trPr>
          <w:cantSplit/>
        </w:trPr>
        <w:tc>
          <w:tcPr>
            <w:tcW w:type="dxa" w:w="1701"/>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Pequena escala</w:t>
            </w:r>
          </w:p>
        </w:tc>
        <w:tc>
          <w:tcPr>
            <w:tcW w:type="dxa" w:w="243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Até 2 ninhadas por ano civil colocadas no mercado</w:t>
            </w:r>
          </w:p>
        </w:tc>
        <w:tc>
          <w:tcPr>
            <w:tcW w:type="dxa" w:w="226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Mera comunicação prévia, com registo no SIAC</w:t>
            </w:r>
          </w:p>
        </w:tc>
        <w:tc>
          <w:tcPr>
            <w:tcW w:type="dxa" w:w="300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Regime nacional integral. O projeto não acolhe a redução do artigo 5.º do Regulamento.</w:t>
            </w:r>
          </w:p>
        </w:tc>
      </w:tr>
      <w:tr>
        <w:trPr>
          <w:cantSplit/>
        </w:trPr>
        <w:tc>
          <w:tcPr>
            <w:tcW w:type="dxa" w:w="1701"/>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Regime geral</w:t>
            </w:r>
          </w:p>
        </w:tc>
        <w:tc>
          <w:tcPr>
            <w:tcW w:type="dxa" w:w="243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De 3 a 5 ninhadas por ano civil, sem exceder 5 fêmeas reprodutoras</w:t>
            </w:r>
          </w:p>
        </w:tc>
        <w:tc>
          <w:tcPr>
            <w:tcW w:type="dxa" w:w="226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Mera comunicação prévia, com registo no SIAC</w:t>
            </w:r>
          </w:p>
        </w:tc>
        <w:tc>
          <w:tcPr>
            <w:tcW w:type="dxa" w:w="300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Regime nacional integral e regime geral do Regulamento.</w:t>
            </w:r>
          </w:p>
        </w:tc>
      </w:tr>
      <w:tr>
        <w:trPr>
          <w:cantSplit/>
        </w:trPr>
        <w:tc>
          <w:tcPr>
            <w:tcW w:type="dxa" w:w="1701"/>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Sujeito a aprovação</w:t>
            </w:r>
          </w:p>
        </w:tc>
        <w:tc>
          <w:tcPr>
            <w:tcW w:type="dxa" w:w="243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Mais de 5 ninhadas por ano civil ou mais de 5 cadelas ou gatas reprodutoras</w:t>
            </w:r>
          </w:p>
        </w:tc>
        <w:tc>
          <w:tcPr>
            <w:tcW w:type="dxa" w:w="226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Permissão administrativa, absorvendo a aprovação do artigo 10.º</w:t>
            </w:r>
          </w:p>
        </w:tc>
        <w:tc>
          <w:tcPr>
            <w:tcW w:type="dxa" w:w="300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Regime integral, com inspeção prévia ao local e lista pública de estabelecimentos aprovados, a partir de 31.08.2034.</w:t>
            </w:r>
          </w:p>
        </w:tc>
      </w:tr>
      <w:tr>
        <w:trPr>
          <w:cantSplit/>
        </w:trPr>
        <w:tc>
          <w:tcPr>
            <w:tcW w:type="dxa" w:w="1701"/>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Animais potencialmente perigosos</w:t>
            </w:r>
          </w:p>
        </w:tc>
        <w:tc>
          <w:tcPr>
            <w:tcW w:type="dxa" w:w="243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Reprodução e criação de animais potencialmente perigosos, independentemente da escala</w:t>
            </w:r>
          </w:p>
        </w:tc>
        <w:tc>
          <w:tcPr>
            <w:tcW w:type="dxa" w:w="226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Permissão administrativa</w:t>
            </w:r>
          </w:p>
        </w:tc>
        <w:tc>
          <w:tcPr>
            <w:tcW w:type="dxa" w:w="300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Requisitos específicos de segurança, reprodução, registo e comércio.</w:t>
            </w:r>
          </w:p>
        </w:tc>
      </w:tr>
    </w:tbl>
    <w:p>
      <w:pPr>
        <w:spacing w:before="4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E0BEBA"/>
              <w:bottom w:val="nil"/>
              <w:right w:val="nil"/>
            </w:tcBorders>
            <w:shd w:val="clear" w:color="auto" w:fill="FAF2F1"/>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19"/>
              </w:rPr>
              <w:t>O número de identificação e a publicitação do criador não são privativos do escalão superior. Resultam hoje dos n.os 11 e 12 do artigo 3.º do Decreto-Lei n.º 276/2001 e abrangem todos os criadores registados. A lista pública prevista no n.º 3 do artigo 10.º do Regulamento é adicional e específica dos estabelecimentos aprovados, e não substitui aquela.</w:t>
            </w:r>
          </w:p>
        </w:tc>
      </w:tr>
    </w:tbl>
    <w:p>
      <w:pPr>
        <w:spacing w:before="0" w:after="180" w:line="293" w:lineRule="auto"/>
      </w:pPr>
    </w:p>
    <w:p>
      <w:pPr>
        <w:keepNext/>
        <w:spacing w:before="260" w:after="80" w:line="293" w:lineRule="auto"/>
      </w:pPr>
      <w:r>
        <w:rPr>
          <w:rFonts w:ascii="Aptos" w:hAnsi="Aptos" w:cs="Aptos" w:eastAsia="Aptos"/>
          <w:b/>
          <w:i w:val="0"/>
          <w:color w:val="7C8894"/>
          <w:sz w:val="21"/>
        </w:rPr>
        <w:t xml:space="preserve">7.2  </w:t>
      </w:r>
      <w:r>
        <w:rPr>
          <w:rFonts w:ascii="Aptos" w:hAnsi="Aptos" w:cs="Aptos" w:eastAsia="Aptos"/>
          <w:b/>
          <w:i w:val="0"/>
          <w:color w:val="35506B"/>
          <w:sz w:val="21"/>
        </w:rPr>
        <w:t>Núcleo não dispensável</w:t>
      </w:r>
    </w:p>
    <w:p>
      <w:pPr>
        <w:spacing w:before="0" w:after="140" w:line="293" w:lineRule="auto"/>
        <w:jc w:val="both"/>
      </w:pPr>
      <w:r>
        <w:rPr>
          <w:rFonts w:ascii="Aptos" w:hAnsi="Aptos" w:cs="Aptos" w:eastAsia="Aptos"/>
          <w:b w:val="0"/>
          <w:i w:val="0"/>
          <w:color w:val="2B2B2B"/>
          <w:sz w:val="20"/>
        </w:rPr>
        <w:t>Qualquer modulação por escala deve deixar intacto o conjunto seguinte, que é o que assegura a identificação do responsável, a rastreabilidade do animal e a possibilidade de controlo.</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Título de acesso, número de identificação e publicitação do criador.</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Declaração da capacidade máxima, das espécies e raças, do número de fêmeas reprodutoras e do número estimado de ninhadas a colocar no mercado por ano.</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Indicação do médico veterinário responsável e exercício efetivo das competências do n.º 2 do artigo 4.º do Decreto-Lei n.º 276/2001.</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Identificação individual das crias até aos três meses e sempre antes da colocação no mercado, com registo em nome do operador e atualização na transmissão.</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Registo de nascimentos, mortes, entradas, saídas, origem e destino dos animais.</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Observância dos limites reprodutivos do ponto 3 do anexo I do Regulamento e das proibições do artigo 8.º.</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Alimentação, água, higiene, saúde, exercício e socialização adequados.</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Informação escrita ao adquirente, incluindo historial clínico e sanitário.</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Elementos de verificação nos anúncios em linha.</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Acesso das autoridades para controlo e sujeição a medidas corretivas.</w:t>
      </w:r>
    </w:p>
    <w:p>
      <w:pPr>
        <w:keepNext/>
        <w:spacing w:before="260" w:after="80" w:line="293" w:lineRule="auto"/>
      </w:pPr>
      <w:r>
        <w:rPr>
          <w:rFonts w:ascii="Aptos" w:hAnsi="Aptos" w:cs="Aptos" w:eastAsia="Aptos"/>
          <w:b/>
          <w:i w:val="0"/>
          <w:color w:val="7C8894"/>
          <w:sz w:val="21"/>
        </w:rPr>
        <w:t xml:space="preserve">7.3  </w:t>
      </w:r>
      <w:r>
        <w:rPr>
          <w:rFonts w:ascii="Aptos" w:hAnsi="Aptos" w:cs="Aptos" w:eastAsia="Aptos"/>
          <w:b/>
          <w:i w:val="0"/>
          <w:color w:val="35506B"/>
          <w:sz w:val="21"/>
        </w:rPr>
        <w:t>Margem de simplificação</w:t>
      </w:r>
    </w:p>
    <w:p>
      <w:pPr>
        <w:spacing w:before="0" w:after="140" w:line="293" w:lineRule="auto"/>
        <w:jc w:val="both"/>
      </w:pPr>
      <w:r>
        <w:rPr>
          <w:rFonts w:ascii="Aptos" w:hAnsi="Aptos" w:cs="Aptos" w:eastAsia="Aptos"/>
          <w:b w:val="0"/>
          <w:i w:val="0"/>
          <w:color w:val="2B2B2B"/>
          <w:sz w:val="20"/>
        </w:rPr>
        <w:t>A simplificação admissível incide sobre o modo de cumprimento dos requisitos estruturais, não sobre as obrigações materiais. Concretiza-se em equivalência funcional documentada, aferida em função do número, espécie, idade e condição dos animais. O critério de fronteira é verificável: uma solução é admissível se preservar a função sanitária ou comportamental que a exigência original visa, e não o é se a suprimir.</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3137"/>
        <w:gridCol w:w="3137"/>
        <w:gridCol w:w="3137"/>
      </w:tblGrid>
      <w:tr>
        <w:trPr>
          <w:cantSplit/>
          <w:tblHeader/>
        </w:trPr>
        <w:tc>
          <w:tcPr>
            <w:tcW w:type="dxa" w:w="2835"/>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Exigência</w:t>
            </w:r>
          </w:p>
        </w:tc>
        <w:tc>
          <w:tcPr>
            <w:tcW w:type="dxa" w:w="3628"/>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Equivalência admissível</w:t>
            </w:r>
          </w:p>
        </w:tc>
        <w:tc>
          <w:tcPr>
            <w:tcW w:type="dxa" w:w="2948"/>
            <w:tcBorders>
              <w:top w:val="nil"/>
              <w:left w:val="nil"/>
              <w:bottom w:val="single" w:sz="8" w:space="0" w:color="A9C2D8"/>
              <w:right w:val="nil"/>
            </w:tcBorders>
            <w:shd w:val="clear" w:color="auto" w:fill="E9EFF4"/>
            <w:tcMar>
              <w:top w:w="90" w:type="dxa"/>
              <w:bottom w:w="90" w:type="dxa"/>
              <w:left w:w="120" w:type="dxa"/>
              <w:right w:w="120" w:type="dxa"/>
            </w:tcMar>
          </w:tcPr>
          <w:p>
            <w:pPr>
              <w:spacing w:before="0" w:after="0" w:line="293" w:lineRule="auto"/>
            </w:pPr>
            <w:r>
              <w:rPr>
                <w:rFonts w:ascii="Aptos" w:hAnsi="Aptos" w:cs="Aptos" w:eastAsia="Aptos"/>
                <w:b/>
                <w:i w:val="0"/>
                <w:color w:val="35506B"/>
                <w:sz w:val="17"/>
              </w:rPr>
              <w:t>Limite</w:t>
            </w:r>
          </w:p>
        </w:tc>
      </w:tr>
      <w:tr>
        <w:trPr>
          <w:cantSplit/>
        </w:trPr>
        <w:tc>
          <w:tcPr>
            <w:tcW w:type="dxa" w:w="283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Instalação individualizada para armazenagem de alimentos e equipamento limpo (n.º 1 do artigo 25.º)</w:t>
            </w:r>
          </w:p>
        </w:tc>
        <w:tc>
          <w:tcPr>
            <w:tcW w:type="dxa" w:w="362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Armazenamento protegido e separado em compartimento partilhado, com separação física e identificação</w:t>
            </w:r>
          </w:p>
        </w:tc>
        <w:tc>
          <w:tcPr>
            <w:tcW w:type="dxa" w:w="294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Contacto entre alimento, material sujo e produtos de limpeza</w:t>
            </w:r>
          </w:p>
        </w:tc>
      </w:tr>
      <w:tr>
        <w:trPr>
          <w:cantSplit/>
        </w:trPr>
        <w:tc>
          <w:tcPr>
            <w:tcW w:type="dxa" w:w="283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Instalação individualizada para lavagem e recolha de material (n.º 1 do artigo 25.º)</w:t>
            </w:r>
          </w:p>
        </w:tc>
        <w:tc>
          <w:tcPr>
            <w:tcW w:type="dxa" w:w="362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Zona delimitada com ponto de água e protocolo de limpeza documentado</w:t>
            </w:r>
          </w:p>
        </w:tc>
        <w:tc>
          <w:tcPr>
            <w:tcW w:type="dxa" w:w="294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Ausência de ponto de água ou de separação face às áreas de alojamento</w:t>
            </w:r>
          </w:p>
        </w:tc>
      </w:tr>
      <w:tr>
        <w:trPr>
          <w:cantSplit/>
        </w:trPr>
        <w:tc>
          <w:tcPr>
            <w:tcW w:type="dxa" w:w="283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Instalação individualizada para manuseamento de alimentos (n.º 2 do artigo 25.º)</w:t>
            </w:r>
          </w:p>
        </w:tc>
        <w:tc>
          <w:tcPr>
            <w:tcW w:type="dxa" w:w="362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Superfície de uso multifuncional em momentos distintos, com protocolo de higienização registado</w:t>
            </w:r>
          </w:p>
        </w:tc>
        <w:tc>
          <w:tcPr>
            <w:tcW w:type="dxa" w:w="294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Uso simultâneo ou sem protocolo verificável</w:t>
            </w:r>
          </w:p>
        </w:tc>
      </w:tr>
      <w:tr>
        <w:trPr>
          <w:cantSplit/>
        </w:trPr>
        <w:tc>
          <w:tcPr>
            <w:tcW w:type="dxa" w:w="2835"/>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Enfermaria e quarentena (n.º 2 do artigo 25.º)</w:t>
            </w:r>
          </w:p>
        </w:tc>
        <w:tc>
          <w:tcPr>
            <w:tcW w:type="dxa" w:w="362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Compartimento único com capacidade de isolamento efetivo, quando o número de animais o permita</w:t>
            </w:r>
          </w:p>
        </w:tc>
        <w:tc>
          <w:tcPr>
            <w:tcW w:type="dxa" w:w="2948"/>
            <w:tcBorders>
              <w:top w:val="nil"/>
              <w:left w:val="nil"/>
              <w:bottom w:val="single" w:sz="4" w:space="0" w:color="D7DEE5"/>
              <w:right w:val="nil"/>
            </w:tcBorders>
            <w:shd w:val="clear" w:color="auto" w:fill="FFFFFF"/>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Impossibilidade de isolar um animal doente ou recém-chegado</w:t>
            </w:r>
          </w:p>
        </w:tc>
      </w:tr>
      <w:tr>
        <w:trPr>
          <w:cantSplit/>
        </w:trPr>
        <w:tc>
          <w:tcPr>
            <w:tcW w:type="dxa" w:w="2835"/>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Maternidade e criação até à idade adulta (n.º 2 do artigo 25.º)</w:t>
            </w:r>
          </w:p>
        </w:tc>
        <w:tc>
          <w:tcPr>
            <w:tcW w:type="dxa" w:w="362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Área dedicada dentro do espaço doméstico, com possibilidade de a mãe se afastar das crias</w:t>
            </w:r>
          </w:p>
        </w:tc>
        <w:tc>
          <w:tcPr>
            <w:tcW w:type="dxa" w:w="2948"/>
            <w:tcBorders>
              <w:top w:val="nil"/>
              <w:left w:val="nil"/>
              <w:bottom w:val="single" w:sz="4" w:space="0" w:color="D7DEE5"/>
              <w:right w:val="nil"/>
            </w:tcBorders>
            <w:shd w:val="clear" w:color="auto" w:fill="F8FAFC"/>
            <w:tcMar>
              <w:top w:w="85" w:type="dxa"/>
              <w:bottom w:w="85" w:type="dxa"/>
              <w:left w:w="120" w:type="dxa"/>
              <w:right w:w="120" w:type="dxa"/>
            </w:tcMar>
          </w:tcPr>
          <w:p>
            <w:pPr>
              <w:spacing w:before="0" w:after="0" w:line="274" w:lineRule="auto"/>
            </w:pPr>
            <w:r>
              <w:rPr>
                <w:rFonts w:ascii="Aptos" w:hAnsi="Aptos" w:cs="Aptos" w:eastAsia="Aptos"/>
                <w:b w:val="0"/>
                <w:i w:val="0"/>
                <w:color w:val="2B2B2B"/>
                <w:sz w:val="17"/>
              </w:rPr>
              <w:t>Ausência de área reservada ou de refúgio para a fêmea</w:t>
            </w:r>
          </w:p>
        </w:tc>
      </w:tr>
    </w:tbl>
    <w:p>
      <w:pPr>
        <w:spacing w:before="40" w:after="180" w:line="293"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412"/>
      </w:tblGrid>
      <w:tr>
        <w:trPr>
          <w:cantSplit/>
        </w:trPr>
        <w:tc>
          <w:tcPr>
            <w:tcW w:type="dxa" w:w="9411"/>
            <w:tcBorders>
              <w:top w:val="nil"/>
              <w:left w:val="single" w:sz="18" w:space="0" w:color="D8C9AE"/>
              <w:bottom w:val="nil"/>
              <w:right w:val="nil"/>
            </w:tcBorders>
            <w:shd w:val="clear" w:color="auto" w:fill="F7F4ED"/>
            <w:tcMar>
              <w:top w:w="130" w:type="dxa"/>
              <w:bottom w:w="130" w:type="dxa"/>
              <w:left w:w="200" w:type="dxa"/>
              <w:right w:w="180" w:type="dxa"/>
            </w:tcMar>
          </w:tcPr>
          <w:p>
            <w:pPr>
              <w:spacing w:before="0" w:after="0" w:line="293" w:lineRule="auto"/>
              <w:jc w:val="both"/>
            </w:pPr>
            <w:r>
              <w:rPr>
                <w:rFonts w:ascii="Aptos" w:hAnsi="Aptos" w:cs="Aptos" w:eastAsia="Aptos"/>
                <w:b w:val="0"/>
                <w:i w:val="0"/>
                <w:color w:val="2B2B2B"/>
                <w:sz w:val="20"/>
              </w:rPr>
              <w:t>Não é admissível equivalência que reduza o espaço disponível, comprometa o isolamento sanitário, impeça o exercício e a socialização, dificulte a inspeção dos animais ou fragilize a rastreabilidade. A proporcionalidade aplica-se à forma, nunca ao conteúdo da obrigação.</w:t>
            </w:r>
          </w:p>
        </w:tc>
      </w:tr>
    </w:tbl>
    <w:p>
      <w:pPr>
        <w:spacing w:before="0" w:after="180" w:line="293" w:lineRule="auto"/>
      </w:pPr>
    </w:p>
    <w:p>
      <w:pPr>
        <w:spacing w:before="0" w:after="0" w:line="293" w:lineRule="auto"/>
      </w:pPr>
      <w:r>
        <w:br w:type="page"/>
      </w:r>
    </w:p>
    <w:p>
      <w:pPr>
        <w:keepNext/>
        <w:spacing w:before="360" w:after="40" w:line="293" w:lineRule="auto"/>
      </w:pPr>
      <w:r>
        <w:rPr>
          <w:rFonts w:ascii="Aptos" w:hAnsi="Aptos" w:cs="Aptos" w:eastAsia="Aptos"/>
          <w:b/>
          <w:i w:val="0"/>
          <w:color w:val="5C7891"/>
          <w:sz w:val="27"/>
        </w:rPr>
        <w:t xml:space="preserve">8.  </w:t>
      </w:r>
      <w:r>
        <w:rPr>
          <w:rFonts w:ascii="Aptos" w:hAnsi="Aptos" w:cs="Aptos" w:eastAsia="Aptos"/>
          <w:b/>
          <w:i w:val="0"/>
          <w:color w:val="35506B"/>
          <w:sz w:val="27"/>
        </w:rPr>
        <w:t>Elementos de suporte à audição</w:t>
      </w:r>
    </w:p>
    <w:p>
      <w:pPr>
        <w:keepNext/>
        <w:pBdr>
          <w:bottom w:val="single" w:sz="4" w:space="1" w:color="D7DEE5"/>
        </w:pBdr>
        <w:spacing w:before="0" w:after="160" w:line="40" w:lineRule="exact"/>
      </w:pPr>
    </w:p>
    <w:p>
      <w:pPr>
        <w:spacing w:before="0" w:after="140" w:line="293" w:lineRule="auto"/>
        <w:jc w:val="both"/>
      </w:pPr>
      <w:r>
        <w:rPr>
          <w:rFonts w:ascii="Aptos" w:hAnsi="Aptos" w:cs="Aptos" w:eastAsia="Aptos"/>
          <w:b w:val="0"/>
          <w:i w:val="0"/>
          <w:color w:val="2B2B2B"/>
          <w:sz w:val="20"/>
        </w:rPr>
        <w:t>Reúnem-se as questões previsivelmente suscitadas, a resposta correspondente e a norma que a sustenta. As respostas remetem para os pontos anteriores, onde as citações constam na íntegra.</w:t>
      </w:r>
    </w:p>
    <w:p>
      <w:pPr>
        <w:keepNext/>
        <w:spacing w:before="180" w:after="60" w:line="293" w:lineRule="auto"/>
      </w:pPr>
      <w:r>
        <w:rPr>
          <w:rFonts w:ascii="Aptos" w:hAnsi="Aptos" w:cs="Aptos" w:eastAsia="Aptos"/>
          <w:b/>
          <w:i w:val="0"/>
          <w:color w:val="35506B"/>
          <w:sz w:val="19"/>
        </w:rPr>
        <w:t>Está prevista a criação de uma figura de criador informal?</w:t>
      </w:r>
    </w:p>
    <w:p>
      <w:pPr>
        <w:spacing w:before="0" w:after="60" w:line="293" w:lineRule="auto"/>
        <w:jc w:val="both"/>
      </w:pPr>
      <w:r>
        <w:rPr>
          <w:rFonts w:ascii="Aptos" w:hAnsi="Aptos" w:cs="Aptos" w:eastAsia="Aptos"/>
          <w:b w:val="0"/>
          <w:i w:val="0"/>
          <w:color w:val="2B2B2B"/>
          <w:sz w:val="19"/>
        </w:rPr>
        <w:t>Não. Nem o direito vigente, nem o Regulamento, nem o projeto de regime preveem o exercício da atividade de criação sem título de acesso junto da autoridade competente. O projeto mantém os dois títulos existentes, a mera comunicação prévia e a permissão administrativa, e alarga o segundo aos estabelecimentos que ultrapassem os limiares europeus.</w:t>
      </w:r>
    </w:p>
    <w:p>
      <w:pPr>
        <w:spacing w:before="0" w:after="80" w:line="293" w:lineRule="auto"/>
      </w:pPr>
      <w:r>
        <w:rPr>
          <w:rFonts w:ascii="Aptos" w:hAnsi="Aptos" w:cs="Aptos" w:eastAsia="Aptos"/>
          <w:b/>
          <w:i w:val="0"/>
          <w:color w:val="7C8894"/>
          <w:sz w:val="15"/>
        </w:rPr>
        <w:t xml:space="preserve">Base normativa:  </w:t>
      </w:r>
      <w:r>
        <w:rPr>
          <w:rFonts w:ascii="Aptos" w:hAnsi="Aptos" w:cs="Aptos" w:eastAsia="Aptos"/>
          <w:b w:val="0"/>
          <w:i w:val="0"/>
          <w:color w:val="7C8894"/>
          <w:sz w:val="15"/>
        </w:rPr>
        <w:t>Artigo 3.º do Decreto-Lei n.º 276/2001; artigo 45.º do projeto; artigos 9.º e 10.º do Regulamento</w:t>
      </w:r>
    </w:p>
    <w:p>
      <w:pPr>
        <w:keepNext/>
        <w:spacing w:before="180" w:after="60" w:line="293" w:lineRule="auto"/>
      </w:pPr>
      <w:r>
        <w:rPr>
          <w:rFonts w:ascii="Aptos" w:hAnsi="Aptos" w:cs="Aptos" w:eastAsia="Aptos"/>
          <w:b/>
          <w:i w:val="0"/>
          <w:color w:val="35506B"/>
          <w:sz w:val="19"/>
        </w:rPr>
        <w:t>Que matéria foi então efetivamente ponderada?</w:t>
      </w:r>
    </w:p>
    <w:p>
      <w:pPr>
        <w:spacing w:before="0" w:after="60" w:line="293" w:lineRule="auto"/>
        <w:jc w:val="both"/>
      </w:pPr>
      <w:r>
        <w:rPr>
          <w:rFonts w:ascii="Aptos" w:hAnsi="Aptos" w:cs="Aptos" w:eastAsia="Aptos"/>
          <w:b w:val="0"/>
          <w:i w:val="0"/>
          <w:color w:val="2B2B2B"/>
          <w:sz w:val="19"/>
        </w:rPr>
        <w:t>A adequação à escala dos requisitos de instalações individualizadas exigidos pelos n.os 1 e 2 do artigo 25.º do Decreto-Lei n.º 276/2001, concebidos para alojamentos de dimensão significativa. A ponderação decorreu em sede de grupo de trabalho técnico e não consta da versão do projeto remetida à tutela. Não incidiu sobre registo, identificação, rastreabilidade ou controlo reprodutivo.</w:t>
      </w:r>
    </w:p>
    <w:p>
      <w:pPr>
        <w:spacing w:before="0" w:after="80" w:line="293" w:lineRule="auto"/>
      </w:pPr>
      <w:r>
        <w:rPr>
          <w:rFonts w:ascii="Aptos" w:hAnsi="Aptos" w:cs="Aptos" w:eastAsia="Aptos"/>
          <w:b/>
          <w:i w:val="0"/>
          <w:color w:val="7C8894"/>
          <w:sz w:val="15"/>
        </w:rPr>
        <w:t xml:space="preserve">Base normativa:  </w:t>
      </w:r>
      <w:r>
        <w:rPr>
          <w:rFonts w:ascii="Aptos" w:hAnsi="Aptos" w:cs="Aptos" w:eastAsia="Aptos"/>
          <w:b w:val="0"/>
          <w:i w:val="0"/>
          <w:color w:val="7C8894"/>
          <w:sz w:val="15"/>
        </w:rPr>
        <w:t>N.os 1 e 2 do artigo 25.º do Decreto-Lei n.º 276/2001</w:t>
      </w:r>
    </w:p>
    <w:p>
      <w:pPr>
        <w:keepNext/>
        <w:spacing w:before="180" w:after="60" w:line="293" w:lineRule="auto"/>
      </w:pPr>
      <w:r>
        <w:rPr>
          <w:rFonts w:ascii="Aptos" w:hAnsi="Aptos" w:cs="Aptos" w:eastAsia="Aptos"/>
          <w:b/>
          <w:i w:val="0"/>
          <w:color w:val="35506B"/>
          <w:sz w:val="19"/>
        </w:rPr>
        <w:t>Uma solução proporcional é compatível com o direito da União?</w:t>
      </w:r>
    </w:p>
    <w:p>
      <w:pPr>
        <w:spacing w:before="0" w:after="60" w:line="293" w:lineRule="auto"/>
        <w:jc w:val="both"/>
      </w:pPr>
      <w:r>
        <w:rPr>
          <w:rFonts w:ascii="Aptos" w:hAnsi="Aptos" w:cs="Aptos" w:eastAsia="Aptos"/>
          <w:b w:val="0"/>
          <w:i w:val="0"/>
          <w:color w:val="2B2B2B"/>
          <w:sz w:val="19"/>
        </w:rPr>
        <w:t>É. O artigo 5.º do Regulamento institui ele próprio um regime reduzido para os estabelecimentos até duas ninhadas por ano civil, dispensando-os, entre outras obrigações, do espaço disponível mínimo, da temperatura das áreas de parto, da iluminação e das especificações de socialização. A modulação por escala é opção do legislador europeu, não invenção nacional.</w:t>
      </w:r>
    </w:p>
    <w:p>
      <w:pPr>
        <w:spacing w:before="0" w:after="80" w:line="293" w:lineRule="auto"/>
      </w:pPr>
      <w:r>
        <w:rPr>
          <w:rFonts w:ascii="Aptos" w:hAnsi="Aptos" w:cs="Aptos" w:eastAsia="Aptos"/>
          <w:b/>
          <w:i w:val="0"/>
          <w:color w:val="7C8894"/>
          <w:sz w:val="15"/>
        </w:rPr>
        <w:t xml:space="preserve">Base normativa:  </w:t>
      </w:r>
      <w:r>
        <w:rPr>
          <w:rFonts w:ascii="Aptos" w:hAnsi="Aptos" w:cs="Aptos" w:eastAsia="Aptos"/>
          <w:b w:val="0"/>
          <w:i w:val="0"/>
          <w:color w:val="7C8894"/>
          <w:sz w:val="15"/>
        </w:rPr>
        <w:t>N.º 1 do artigo 5.º do Regulamento</w:t>
      </w:r>
    </w:p>
    <w:p>
      <w:pPr>
        <w:keepNext/>
        <w:spacing w:before="180" w:after="60" w:line="293" w:lineRule="auto"/>
      </w:pPr>
      <w:r>
        <w:rPr>
          <w:rFonts w:ascii="Aptos" w:hAnsi="Aptos" w:cs="Aptos" w:eastAsia="Aptos"/>
          <w:b/>
          <w:i w:val="0"/>
          <w:color w:val="35506B"/>
          <w:sz w:val="19"/>
        </w:rPr>
        <w:t>O regime nacional em preparação é mais permissivo do que o europeu?</w:t>
      </w:r>
    </w:p>
    <w:p>
      <w:pPr>
        <w:spacing w:before="0" w:after="60" w:line="293" w:lineRule="auto"/>
        <w:jc w:val="both"/>
      </w:pPr>
      <w:r>
        <w:rPr>
          <w:rFonts w:ascii="Aptos" w:hAnsi="Aptos" w:cs="Aptos" w:eastAsia="Aptos"/>
          <w:b w:val="0"/>
          <w:i w:val="0"/>
          <w:color w:val="2B2B2B"/>
          <w:sz w:val="19"/>
        </w:rPr>
        <w:t>É mais exigente. O projeto não acolhe a redução do artigo 5.º e aplica a totalidade das obrigações a todos os estabelecimentos de criação. Mesmo a ponderação técnica mais permissiva que chegou a ser equacionada quanto a instalações permanece acima da linha de base europeia. A opção deve ser comunicada à Comissão até 31 de agosto de 2028.</w:t>
      </w:r>
    </w:p>
    <w:p>
      <w:pPr>
        <w:spacing w:before="0" w:after="80" w:line="293" w:lineRule="auto"/>
      </w:pPr>
      <w:r>
        <w:rPr>
          <w:rFonts w:ascii="Aptos" w:hAnsi="Aptos" w:cs="Aptos" w:eastAsia="Aptos"/>
          <w:b/>
          <w:i w:val="0"/>
          <w:color w:val="7C8894"/>
          <w:sz w:val="15"/>
        </w:rPr>
        <w:t xml:space="preserve">Base normativa:  </w:t>
      </w:r>
      <w:r>
        <w:rPr>
          <w:rFonts w:ascii="Aptos" w:hAnsi="Aptos" w:cs="Aptos" w:eastAsia="Aptos"/>
          <w:b w:val="0"/>
          <w:i w:val="0"/>
          <w:color w:val="7C8894"/>
          <w:sz w:val="15"/>
        </w:rPr>
        <w:t>Artigo 30.º do Regulamento</w:t>
      </w:r>
    </w:p>
    <w:p>
      <w:pPr>
        <w:keepNext/>
        <w:spacing w:before="180" w:after="60" w:line="293" w:lineRule="auto"/>
      </w:pPr>
      <w:r>
        <w:rPr>
          <w:rFonts w:ascii="Aptos" w:hAnsi="Aptos" w:cs="Aptos" w:eastAsia="Aptos"/>
          <w:b/>
          <w:i w:val="0"/>
          <w:color w:val="35506B"/>
          <w:sz w:val="19"/>
        </w:rPr>
        <w:t>A medida reduz a fiscalização?</w:t>
      </w:r>
    </w:p>
    <w:p>
      <w:pPr>
        <w:spacing w:before="0" w:after="60" w:line="293" w:lineRule="auto"/>
        <w:jc w:val="both"/>
      </w:pPr>
      <w:r>
        <w:rPr>
          <w:rFonts w:ascii="Aptos" w:hAnsi="Aptos" w:cs="Aptos" w:eastAsia="Aptos"/>
          <w:b w:val="0"/>
          <w:i w:val="0"/>
          <w:color w:val="2B2B2B"/>
          <w:sz w:val="19"/>
        </w:rPr>
        <w:t>Não altera os poderes nem os deveres de controlo. Os controlos oficiais regem-se pelo Regulamento (UE) 2017/625 e assentam em análise de risco, independentemente da dimensão do estabelecimento. Acima dos limiares, o Regulamento acrescenta inspeção prévia ao local como condição de aprovação, exigência que o direito nacional vigente não contém.</w:t>
      </w:r>
    </w:p>
    <w:p>
      <w:pPr>
        <w:spacing w:before="0" w:after="80" w:line="293" w:lineRule="auto"/>
      </w:pPr>
      <w:r>
        <w:rPr>
          <w:rFonts w:ascii="Aptos" w:hAnsi="Aptos" w:cs="Aptos" w:eastAsia="Aptos"/>
          <w:b/>
          <w:i w:val="0"/>
          <w:color w:val="7C8894"/>
          <w:sz w:val="15"/>
        </w:rPr>
        <w:t xml:space="preserve">Base normativa:  </w:t>
      </w:r>
      <w:r>
        <w:rPr>
          <w:rFonts w:ascii="Aptos" w:hAnsi="Aptos" w:cs="Aptos" w:eastAsia="Aptos"/>
          <w:b w:val="0"/>
          <w:i w:val="0"/>
          <w:color w:val="7C8894"/>
          <w:sz w:val="15"/>
        </w:rPr>
        <w:t>N.º 2 do artigo 10.º do Regulamento</w:t>
      </w:r>
    </w:p>
    <w:p>
      <w:pPr>
        <w:keepNext/>
        <w:spacing w:before="180" w:after="60" w:line="293" w:lineRule="auto"/>
      </w:pPr>
      <w:r>
        <w:rPr>
          <w:rFonts w:ascii="Aptos" w:hAnsi="Aptos" w:cs="Aptos" w:eastAsia="Aptos"/>
          <w:b/>
          <w:i w:val="0"/>
          <w:color w:val="35506B"/>
          <w:sz w:val="19"/>
        </w:rPr>
        <w:t>A medida facilita o comércio ilegal?</w:t>
      </w:r>
    </w:p>
    <w:p>
      <w:pPr>
        <w:spacing w:before="0" w:after="60" w:line="293" w:lineRule="auto"/>
        <w:jc w:val="both"/>
      </w:pPr>
      <w:r>
        <w:rPr>
          <w:rFonts w:ascii="Aptos" w:hAnsi="Aptos" w:cs="Aptos" w:eastAsia="Aptos"/>
          <w:b w:val="0"/>
          <w:i w:val="0"/>
          <w:color w:val="2B2B2B"/>
          <w:sz w:val="19"/>
        </w:rPr>
        <w:t>As obrigações de identificação e registo dos animais e os requisitos da publicidade em linha integram o Capítulo III do Regulamento. O artigo 5.º dispõe apenas sobre o Capítulo II e não lhes é aplicável. A identificação individual abrange todos os cães e gatos, incluindo os detidos por particulares. Nenhuma redução por escala atinge a rastreabilidade.</w:t>
      </w:r>
    </w:p>
    <w:p>
      <w:pPr>
        <w:spacing w:before="0" w:after="80" w:line="293" w:lineRule="auto"/>
      </w:pPr>
      <w:r>
        <w:rPr>
          <w:rFonts w:ascii="Aptos" w:hAnsi="Aptos" w:cs="Aptos" w:eastAsia="Aptos"/>
          <w:b/>
          <w:i w:val="0"/>
          <w:color w:val="7C8894"/>
          <w:sz w:val="15"/>
        </w:rPr>
        <w:t xml:space="preserve">Base normativa:  </w:t>
      </w:r>
      <w:r>
        <w:rPr>
          <w:rFonts w:ascii="Aptos" w:hAnsi="Aptos" w:cs="Aptos" w:eastAsia="Aptos"/>
          <w:b w:val="0"/>
          <w:i w:val="0"/>
          <w:color w:val="7C8894"/>
          <w:sz w:val="15"/>
        </w:rPr>
        <w:t>Epígrafe do artigo 5.º; n.º 1 do artigo 20.º; artigo 21.º do Regulamento</w:t>
      </w:r>
    </w:p>
    <w:p>
      <w:pPr>
        <w:keepNext/>
        <w:spacing w:before="180" w:after="60" w:line="293" w:lineRule="auto"/>
      </w:pPr>
      <w:r>
        <w:rPr>
          <w:rFonts w:ascii="Aptos" w:hAnsi="Aptos" w:cs="Aptos" w:eastAsia="Aptos"/>
          <w:b/>
          <w:i w:val="0"/>
          <w:color w:val="35506B"/>
          <w:sz w:val="19"/>
        </w:rPr>
        <w:t>Um caso recente envolvendo um estabelecimento registado com várias centenas de animais não demonstra a insuficiência do registo?</w:t>
      </w:r>
    </w:p>
    <w:p>
      <w:pPr>
        <w:spacing w:before="0" w:after="60" w:line="293" w:lineRule="auto"/>
        <w:jc w:val="both"/>
      </w:pPr>
      <w:r>
        <w:rPr>
          <w:rFonts w:ascii="Aptos" w:hAnsi="Aptos" w:cs="Aptos" w:eastAsia="Aptos"/>
          <w:b w:val="0"/>
          <w:i w:val="0"/>
          <w:color w:val="2B2B2B"/>
          <w:sz w:val="19"/>
        </w:rPr>
        <w:t>Demonstra insuficiência de controlo, não excesso de proporcionalidade. Um estabelecimento dessa dimensão situa-se muito acima dos limiares do artigo 10.º e integra o escalão sujeito a aprovação com inspeção prévia ao local. Nada tem em comum com a criação em pequena escala, que é o objeto da ponderação em causa. O caso reforça a necessidade de capacidade inspetiva e de cruzamento de dados, e é precisamente isso que o registo universal das ninhadas e a ficha de verificação dos anúncios visam servir.</w:t>
      </w:r>
    </w:p>
    <w:p>
      <w:pPr>
        <w:spacing w:before="0" w:after="80" w:line="293" w:lineRule="auto"/>
      </w:pPr>
      <w:r>
        <w:rPr>
          <w:rFonts w:ascii="Aptos" w:hAnsi="Aptos" w:cs="Aptos" w:eastAsia="Aptos"/>
          <w:b/>
          <w:i w:val="0"/>
          <w:color w:val="7C8894"/>
          <w:sz w:val="15"/>
        </w:rPr>
        <w:t xml:space="preserve">Base normativa:  </w:t>
      </w:r>
      <w:r>
        <w:rPr>
          <w:rFonts w:ascii="Aptos" w:hAnsi="Aptos" w:cs="Aptos" w:eastAsia="Aptos"/>
          <w:b w:val="0"/>
          <w:i w:val="0"/>
          <w:color w:val="7C8894"/>
          <w:sz w:val="15"/>
        </w:rPr>
        <w:t>N.os 1 e 2 do artigo 10.º do Regulamento</w:t>
      </w:r>
    </w:p>
    <w:p>
      <w:pPr>
        <w:keepNext/>
        <w:spacing w:before="180" w:after="60" w:line="293" w:lineRule="auto"/>
      </w:pPr>
      <w:r>
        <w:rPr>
          <w:rFonts w:ascii="Aptos" w:hAnsi="Aptos" w:cs="Aptos" w:eastAsia="Aptos"/>
          <w:b/>
          <w:i w:val="0"/>
          <w:color w:val="35506B"/>
          <w:sz w:val="19"/>
        </w:rPr>
        <w:t>Quem cria sem fins lucrativos fica de fora?</w:t>
      </w:r>
    </w:p>
    <w:p>
      <w:pPr>
        <w:spacing w:before="0" w:after="60" w:line="293" w:lineRule="auto"/>
        <w:jc w:val="both"/>
      </w:pPr>
      <w:r>
        <w:rPr>
          <w:rFonts w:ascii="Aptos" w:hAnsi="Aptos" w:cs="Aptos" w:eastAsia="Aptos"/>
          <w:b w:val="0"/>
          <w:i w:val="0"/>
          <w:color w:val="2B2B2B"/>
          <w:sz w:val="19"/>
        </w:rPr>
        <w:t>Fica, no regime vigente, por efeito da definição de hospedagem com fins lucrativos. É lacuna identificada e o projeto destina-se a fechá-la, abandonando o critério do fim lucrativo. O Regulamento segue o mesmo sentido: sujeita quem coloca no mercado, a título oneroso ou gratuito.</w:t>
      </w:r>
    </w:p>
    <w:p>
      <w:pPr>
        <w:spacing w:before="0" w:after="80" w:line="293" w:lineRule="auto"/>
      </w:pPr>
      <w:r>
        <w:rPr>
          <w:rFonts w:ascii="Aptos" w:hAnsi="Aptos" w:cs="Aptos" w:eastAsia="Aptos"/>
          <w:b/>
          <w:i w:val="0"/>
          <w:color w:val="7C8894"/>
          <w:sz w:val="15"/>
        </w:rPr>
        <w:t xml:space="preserve">Base normativa:  </w:t>
      </w:r>
      <w:r>
        <w:rPr>
          <w:rFonts w:ascii="Aptos" w:hAnsi="Aptos" w:cs="Aptos" w:eastAsia="Aptos"/>
          <w:b w:val="0"/>
          <w:i w:val="0"/>
          <w:color w:val="7C8894"/>
          <w:sz w:val="15"/>
        </w:rPr>
        <w:t>Al. q) do artigo 2.º do Decreto-Lei n.º 276/2001; artigo 4.º do Regulamento</w:t>
      </w:r>
    </w:p>
    <w:p>
      <w:pPr>
        <w:keepNext/>
        <w:spacing w:before="180" w:after="60" w:line="293" w:lineRule="auto"/>
      </w:pPr>
      <w:r>
        <w:rPr>
          <w:rFonts w:ascii="Aptos" w:hAnsi="Aptos" w:cs="Aptos" w:eastAsia="Aptos"/>
          <w:b/>
          <w:i w:val="0"/>
          <w:color w:val="35506B"/>
          <w:sz w:val="19"/>
        </w:rPr>
        <w:t>Subsiste alguma margem de informalidade?</w:t>
      </w:r>
    </w:p>
    <w:p>
      <w:pPr>
        <w:spacing w:before="0" w:after="60" w:line="293" w:lineRule="auto"/>
        <w:jc w:val="both"/>
      </w:pPr>
      <w:r>
        <w:rPr>
          <w:rFonts w:ascii="Aptos" w:hAnsi="Aptos" w:cs="Aptos" w:eastAsia="Aptos"/>
          <w:b w:val="0"/>
          <w:i w:val="0"/>
          <w:color w:val="2B2B2B"/>
          <w:sz w:val="19"/>
        </w:rPr>
        <w:t>Uma, e resulta do texto europeu: a exceção das doações ocasionais a intervalos irregulares por pessoas singulares que não sejam operadores, sem publicidade em linha, que ficam fora do conceito de colocação no mercado e, por essa via, do Capítulo II. Mesmo nesse caso subsiste a obrigação de identificar e registar o animal. Está em apreciação se a legislação nacional deve fechar essa margem, ao abrigo do artigo 30.º.</w:t>
      </w:r>
    </w:p>
    <w:p>
      <w:pPr>
        <w:spacing w:before="0" w:after="80" w:line="293" w:lineRule="auto"/>
      </w:pPr>
      <w:r>
        <w:rPr>
          <w:rFonts w:ascii="Aptos" w:hAnsi="Aptos" w:cs="Aptos" w:eastAsia="Aptos"/>
          <w:b/>
          <w:i w:val="0"/>
          <w:color w:val="7C8894"/>
          <w:sz w:val="15"/>
        </w:rPr>
        <w:t xml:space="preserve">Base normativa:  </w:t>
      </w:r>
      <w:r>
        <w:rPr>
          <w:rFonts w:ascii="Aptos" w:hAnsi="Aptos" w:cs="Aptos" w:eastAsia="Aptos"/>
          <w:b w:val="0"/>
          <w:i w:val="0"/>
          <w:color w:val="7C8894"/>
          <w:sz w:val="15"/>
        </w:rPr>
        <w:t>Artigo 4.º e n.º 1 do artigo 20.º do Regulamento</w:t>
      </w:r>
    </w:p>
    <w:p>
      <w:pPr>
        <w:keepNext/>
        <w:spacing w:before="180" w:after="60" w:line="293" w:lineRule="auto"/>
      </w:pPr>
      <w:r>
        <w:rPr>
          <w:rFonts w:ascii="Aptos" w:hAnsi="Aptos" w:cs="Aptos" w:eastAsia="Aptos"/>
          <w:b/>
          <w:i w:val="0"/>
          <w:color w:val="35506B"/>
          <w:sz w:val="19"/>
        </w:rPr>
        <w:t>A partir de quando se aplica o novo regime?</w:t>
      </w:r>
    </w:p>
    <w:p>
      <w:pPr>
        <w:spacing w:before="0" w:after="60" w:line="293" w:lineRule="auto"/>
        <w:jc w:val="both"/>
      </w:pPr>
      <w:r>
        <w:rPr>
          <w:rFonts w:ascii="Aptos" w:hAnsi="Aptos" w:cs="Aptos" w:eastAsia="Aptos"/>
          <w:b w:val="0"/>
          <w:i w:val="0"/>
          <w:color w:val="2B2B2B"/>
          <w:sz w:val="19"/>
        </w:rPr>
        <w:t>O Regulamento é aplicável, em regra, a partir de 31 de agosto de 2028. A identificação dos animais e a notificação dos estabelecimentos aplicam-se nessa data. As exigências de alojamento, incluindo o espaço disponível mínimo, apenas a partir de 31 de agosto de 2031. A aprovação dos estabelecimentos acima dos limiares apenas a partir de 31 de agosto de 2034.</w:t>
      </w:r>
    </w:p>
    <w:p>
      <w:pPr>
        <w:spacing w:before="0" w:after="80" w:line="293" w:lineRule="auto"/>
      </w:pPr>
      <w:r>
        <w:rPr>
          <w:rFonts w:ascii="Aptos" w:hAnsi="Aptos" w:cs="Aptos" w:eastAsia="Aptos"/>
          <w:b/>
          <w:i w:val="0"/>
          <w:color w:val="7C8894"/>
          <w:sz w:val="15"/>
        </w:rPr>
        <w:t xml:space="preserve">Base normativa:  </w:t>
      </w:r>
      <w:r>
        <w:rPr>
          <w:rFonts w:ascii="Aptos" w:hAnsi="Aptos" w:cs="Aptos" w:eastAsia="Aptos"/>
          <w:b w:val="0"/>
          <w:i w:val="0"/>
          <w:color w:val="7C8894"/>
          <w:sz w:val="15"/>
        </w:rPr>
        <w:t>Artigo 33.º do Regulamento</w:t>
      </w:r>
    </w:p>
    <w:p>
      <w:pPr>
        <w:keepNext/>
        <w:spacing w:before="180" w:after="60" w:line="293" w:lineRule="auto"/>
      </w:pPr>
      <w:r>
        <w:rPr>
          <w:rFonts w:ascii="Aptos" w:hAnsi="Aptos" w:cs="Aptos" w:eastAsia="Aptos"/>
          <w:b/>
          <w:i w:val="0"/>
          <w:color w:val="35506B"/>
          <w:sz w:val="19"/>
        </w:rPr>
        <w:t>Os limites de animais por fogo não resolvem a questão da dimensão?</w:t>
      </w:r>
    </w:p>
    <w:p>
      <w:pPr>
        <w:spacing w:before="0" w:after="60" w:line="293" w:lineRule="auto"/>
        <w:jc w:val="both"/>
      </w:pPr>
      <w:r>
        <w:rPr>
          <w:rFonts w:ascii="Aptos" w:hAnsi="Aptos" w:cs="Aptos" w:eastAsia="Aptos"/>
          <w:b w:val="0"/>
          <w:i w:val="0"/>
          <w:color w:val="2B2B2B"/>
          <w:sz w:val="19"/>
        </w:rPr>
        <w:t>São norma de detenção doméstica, inserida na legislação de luta contra a raiva, e não fixam a capacidade dos estabelecimentos de criação. A capacidade é declarada na mera comunicação prévia e aferida pelos parâmetros do anexo I do Decreto-Lei n.º 276/2001. Os fundamentos constam do ponto 4.3 e do anexo autónomo.</w:t>
      </w:r>
    </w:p>
    <w:p>
      <w:pPr>
        <w:spacing w:before="0" w:after="80" w:line="293" w:lineRule="auto"/>
      </w:pPr>
      <w:r>
        <w:rPr>
          <w:rFonts w:ascii="Aptos" w:hAnsi="Aptos" w:cs="Aptos" w:eastAsia="Aptos"/>
          <w:b/>
          <w:i w:val="0"/>
          <w:color w:val="7C8894"/>
          <w:sz w:val="15"/>
        </w:rPr>
        <w:t xml:space="preserve">Base normativa:  </w:t>
      </w:r>
      <w:r>
        <w:rPr>
          <w:rFonts w:ascii="Aptos" w:hAnsi="Aptos" w:cs="Aptos" w:eastAsia="Aptos"/>
          <w:b w:val="0"/>
          <w:i w:val="0"/>
          <w:color w:val="7C8894"/>
          <w:sz w:val="15"/>
        </w:rPr>
        <w:t>Artigo 3.º do Decreto-Lei n.º 314/2003; n.º 6 do artigo 25.º do Decreto-Lei n.º 276/2001</w:t>
      </w:r>
    </w:p>
    <w:p>
      <w:pPr>
        <w:keepNext/>
        <w:spacing w:before="360" w:after="40" w:line="293" w:lineRule="auto"/>
      </w:pPr>
      <w:r>
        <w:rPr>
          <w:rFonts w:ascii="Aptos" w:hAnsi="Aptos" w:cs="Aptos" w:eastAsia="Aptos"/>
          <w:b/>
          <w:i w:val="0"/>
          <w:color w:val="5C7891"/>
          <w:sz w:val="27"/>
        </w:rPr>
        <w:t xml:space="preserve">9.  </w:t>
      </w:r>
      <w:r>
        <w:rPr>
          <w:rFonts w:ascii="Aptos" w:hAnsi="Aptos" w:cs="Aptos" w:eastAsia="Aptos"/>
          <w:b/>
          <w:i w:val="0"/>
          <w:color w:val="35506B"/>
          <w:sz w:val="27"/>
        </w:rPr>
        <w:t>Referências</w:t>
      </w:r>
    </w:p>
    <w:p>
      <w:pPr>
        <w:keepNext/>
        <w:pBdr>
          <w:bottom w:val="single" w:sz="4" w:space="1" w:color="D7DEE5"/>
        </w:pBdr>
        <w:spacing w:before="0" w:after="160" w:line="40" w:lineRule="exact"/>
      </w:pP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Decreto-Lei n.º 276/2001, de 17 de outubro, na redação atual.</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Decreto-Lei n.º 314/2003, de 17 de dezembro, na redação atual.</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Decreto-Lei n.º 315/2003, de 17 de dezembro.</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Regulamento (UE) 2026/1818 do Parlamento Europeu e do Conselho, de 17 de junho de 2026, relativo ao bem-estar dos cães e dos gatos e à respetiva rastreabilidade (JO L, 2026/1818, de 10.8.2026).</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Regulamento (UE) 2016/429 do Parlamento Europeu e do Conselho, de 9 de março de 2016.</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Regulamento (UE) 2017/625 do Parlamento Europeu e do Conselho, de 15 de março de 2017.</w:t>
      </w:r>
    </w:p>
    <w:p>
      <w:pPr>
        <w:spacing w:before="0" w:after="80" w:line="293" w:lineRule="auto"/>
        <w:ind w:left="351" w:hanging="351"/>
        <w:jc w:val="both"/>
      </w:pPr>
      <w:r>
        <w:rPr>
          <w:rFonts w:ascii="Aptos" w:hAnsi="Aptos" w:cs="Aptos" w:eastAsia="Aptos"/>
          <w:b w:val="0"/>
          <w:i w:val="0"/>
          <w:color w:val="7C8894"/>
          <w:sz w:val="20"/>
        </w:rPr>
        <w:t>·</w:t>
        <w:tab/>
      </w:r>
      <w:r>
        <w:rPr>
          <w:rFonts w:ascii="Aptos" w:hAnsi="Aptos" w:cs="Aptos" w:eastAsia="Aptos"/>
          <w:b w:val="0"/>
          <w:i w:val="0"/>
          <w:color w:val="2B2B2B"/>
          <w:sz w:val="20"/>
        </w:rPr>
        <w:t>Projeto de Regime Geral do Animal de Companhia, 1.ª revisão formal da DAJA, versão de trabalho de junho de 2026.</w:t>
      </w:r>
    </w:p>
    <w:sectPr w:rsidR="00FC693F" w:rsidRPr="0006063C" w:rsidSect="00034616">
      <w:headerReference w:type="default" r:id="rId9"/>
      <w:footerReference w:type="default" r:id="rId10"/>
      <w:pgSz w:w="11906" w:h="16838"/>
      <w:pgMar w:top="1304" w:right="1247" w:bottom="1191" w:left="1247"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93" w:lineRule="auto"/>
      <w:jc w:val="right"/>
    </w:pPr>
    <w:r>
      <w:rPr>
        <w:rFonts w:ascii="Aptos" w:hAnsi="Aptos" w:cs="Aptos" w:eastAsia="Aptos"/>
        <w:b w:val="0"/>
        <w:i w:val="0"/>
        <w:color w:val="7C8894"/>
        <w:sz w:val="16"/>
      </w:rPr>
    </w:r>
    <w:fldSimple w:instr="PAGE">
      <w:r>
        <w:rPr>
          <w:sz w:val="16"/>
          <w:color w:val="7C8894"/>
        </w:rPr>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93" w:lineRule="auto"/>
      <w:jc w:val="right"/>
    </w:pPr>
    <w:r>
      <w:rPr>
        <w:rFonts w:ascii="Aptos" w:hAnsi="Aptos" w:cs="Aptos" w:eastAsia="Aptos"/>
        <w:b w:val="0"/>
        <w:i w:val="0"/>
        <w:color w:val="7C8894"/>
        <w:sz w:val="15"/>
      </w:rPr>
      <w:t>Criação de cães e gatos em pequena escala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Aptos" w:hAnsi="Aptos" w:cs="Aptos" w:eastAsia="Aptos"/>
      <w:color w:val="2B2B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