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3A5C"/>
        </w:rPr>
        <w:t>ANÁLISE DO CONFLITO NORMATIVO</w:t>
      </w:r>
    </w:p>
    <w:p>
      <w:pPr>
        <w:pStyle w:val="Heading2"/>
      </w:pPr>
      <w:r>
        <w:rPr>
          <w:color w:val="444444"/>
        </w:rPr>
        <w:t>DL 314/2003 art. 3.º vs. DL 276/2001 art. 3.º-A</w:t>
        <w:br/>
        <w:t>Número máximo de animais em prédio urbano: limite geral vs. capacidade máxima declarada</w:t>
      </w:r>
    </w:p>
    <w:p>
      <w:r>
        <w:rPr>
          <w:b w:val="0"/>
          <w:i/>
          <w:color w:val="888888"/>
          <w:sz w:val="18"/>
        </w:rPr>
        <w:t>Versão revista com fontes verificadas. Data: maio de 2026.</w:t>
      </w:r>
    </w:p>
    <w:p/>
    <w:p>
      <w:pPr>
        <w:pStyle w:val="Heading1"/>
      </w:pPr>
      <w:r>
        <w:t>PARTE I — AS NORMAS EM CONFLITO: TEXTO VERBATIM</w:t>
      </w:r>
    </w:p>
    <w:p>
      <w:pPr>
        <w:pStyle w:val="Heading2"/>
      </w:pPr>
      <w:r>
        <w:t>1. DL 314/2003, art. 3.º — Detenção de cães e gatos</w:t>
      </w:r>
    </w:p>
    <w:p>
      <w:r>
        <w:rPr>
          <w:b w:val="0"/>
          <w:i/>
          <w:sz w:val="20"/>
        </w:rPr>
        <w:t>Decreto-Lei n.º 314/2003, de 17 de dezembro (PNLVERAZ), versão consolidada a 8 de agosto de 2019 (alterado pelo DL 20/2019 e Resolução AR 138/2019):</w:t>
      </w:r>
    </w:p>
    <w:p>
      <w:pPr>
        <w:ind w:left="850"/>
      </w:pPr>
      <w:r>
        <w:rPr>
          <w:i/>
          <w:color w:val="222277"/>
          <w:sz w:val="20"/>
        </w:rPr>
        <w:t>Art. 1.º (Objeto): «O presente diploma aprova o Programa Nacional de Luta e Vigilância Epidemiológica da Raiva Animal e Outras Zoonoses (PNLVERAZ) [...] e estabelece as regras relativas à posse e detenção, comércio, exposições e entrada de animais susceptíveis à raiva em território nacional.»</w:t>
      </w:r>
    </w:p>
    <w:p>
      <w:pPr>
        <w:ind w:left="850"/>
      </w:pPr>
      <w:r>
        <w:rPr>
          <w:i/>
          <w:color w:val="222277"/>
          <w:sz w:val="20"/>
        </w:rPr>
        <w:t>Art. 2.º, al. d) (Definições): «"Detentor" — qualquer pessoa, singular ou coletiva, responsável pelos animais de companhia para efeitos de reprodução, criação, manutenção, acomodação ou utilização, com ou sem fins comerciais.»</w:t>
      </w:r>
    </w:p>
    <w:p>
      <w:pPr>
        <w:ind w:left="850"/>
      </w:pPr>
      <w:r>
        <w:rPr>
          <w:i/>
          <w:color w:val="222277"/>
          <w:sz w:val="20"/>
        </w:rPr>
        <w:t>Art. 3.º, n.º 1: «O alojamento de cães e gatos em prédios urbanos, rústicos ou mistos, fica sempre condicionado à existência de boas condições do mesmo e ausência de riscos hígio-sanitários relativamente à conspurcação ambiental e doenças transmissíveis ao homem.»</w:t>
      </w:r>
    </w:p>
    <w:p>
      <w:pPr>
        <w:ind w:left="850"/>
      </w:pPr>
      <w:r>
        <w:rPr>
          <w:i/>
          <w:color w:val="222277"/>
          <w:sz w:val="20"/>
        </w:rPr>
        <w:t>Art. 3.º, n.º 2: «Nos prédios urbanos podem ser alojados até três cães ou quatro gatos adultos por cada fogo, não podendo no total ser excedido o número de quatro animais, exceto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ind w:left="850"/>
      </w:pPr>
      <w:r>
        <w:rPr>
          <w:i/>
          <w:color w:val="222277"/>
          <w:sz w:val="20"/>
        </w:rPr>
        <w:t>Art. 3.º, n.º 3: «No caso de fracções autónomas em regime de propriedade horizontal, o regulamento do condomínio pode estabelecer um limite de animais inferior ao previsto no número anterior.»</w:t>
      </w:r>
    </w:p>
    <w:p>
      <w:pPr>
        <w:ind w:left="850"/>
      </w:pPr>
      <w:r>
        <w:rPr>
          <w:i/>
          <w:color w:val="222277"/>
          <w:sz w:val="20"/>
        </w:rPr>
        <w:t>Art. 3.º, n.º 4: «Nos prédios rústicos ou mistos podem ser alojados até seis animais adultos, podendo tal número ser excedido se a dimensão do terreno o permitir e desde que as condições de alojamento obedeçam aos requisitos estabelecidos no n.º 1.»</w:t>
      </w:r>
    </w:p>
    <w:p>
      <w:pPr>
        <w:ind w:left="850"/>
      </w:pPr>
      <w:r>
        <w:rPr>
          <w:i/>
          <w:color w:val="222277"/>
          <w:sz w:val="20"/>
        </w:rPr>
        <w:t>Art. 5.º (Comércio de cães e gatos), n.º 1: «Os cães e gatos que se encontrem em estabelecimentos destinados ao seu comércio devem estar acompanhados do respetivo boletim sanitário de cães e gatos [...] e ter asseguradas as ações de profilaxia médica e sanitária obrigatórias ou consideradas adequadas à saúde e idade dos animais pelo médico veterinário.»</w:t>
      </w:r>
    </w:p>
    <w:p>
      <w:pPr>
        <w:ind w:left="283"/>
      </w:pPr>
      <w:r>
        <w:rPr>
          <w:b w:val="0"/>
          <w:i/>
          <w:color w:val="663300"/>
          <w:sz w:val="20"/>
        </w:rPr>
        <w:t>⟶ Nota: O art. 5.º do DL 314/2003 regula exclusivamente requisitos documentais e sanitários dos estabelecimentos de comércio. Não remete para o art. 3.º nem estabelece qualquer número máximo de animais para estabelecimentos comerciais.</w:t>
      </w:r>
    </w:p>
    <w:p/>
    <w:p>
      <w:pPr>
        <w:pStyle w:val="Heading2"/>
      </w:pPr>
      <w:r>
        <w:t>2. DL 276/2001 art. 3.º-A (aditado pelo DL 260/2012) — Comunicação prévia para alojamentos</w:t>
      </w:r>
    </w:p>
    <w:p>
      <w:r>
        <w:rPr>
          <w:b w:val="0"/>
          <w:i/>
          <w:sz w:val="20"/>
        </w:rPr>
        <w:t>Decreto-Lei n.º 276/2001, de 17 de outubro, na redação dada pelo Decreto-Lei n.º 260/2012, de 12 de dezembro:</w:t>
      </w:r>
    </w:p>
    <w:p>
      <w:pPr>
        <w:ind w:left="850"/>
      </w:pPr>
      <w:r>
        <w:rPr>
          <w:i/>
          <w:color w:val="222277"/>
          <w:sz w:val="20"/>
        </w:rPr>
        <w:t>Art. 3.º-A, n.º 1 (Mera comunicação prévia): «A mera comunicação prévia deve conter: [...] a capacidade máxima de animais e respetivas espécies a alojar [...]»</w:t>
      </w:r>
    </w:p>
    <w:p>
      <w:pPr>
        <w:ind w:left="283"/>
      </w:pPr>
      <w:r>
        <w:rPr>
          <w:b w:val="0"/>
          <w:i/>
          <w:color w:val="663300"/>
          <w:sz w:val="20"/>
        </w:rPr>
        <w:t>⟶ Nota: O art. 3.º-A do DL 276/2001 exige declaração de "capacidade máxima" sem fixar qualquer limite numérico máximo e sem remeter para o DL 314/2003. DL 260/2012 é de 2012, posterior ao DL 314/2003 (2003).</w:t>
      </w:r>
    </w:p>
    <w:p>
      <w:pPr>
        <w:pStyle w:val="Heading1"/>
      </w:pPr>
      <w:r>
        <w:t>PARTE II — O CONFLITO IDENTIFICADO</w:t>
      </w:r>
    </w:p>
    <w:p>
      <w:r>
        <w:rPr>
          <w:b w:val="0"/>
          <w:i w:val="0"/>
        </w:rPr>
        <w:t>Cenário: Um operador pretende explorar um alojamento para hospedagem de animais de companhia (hotel de cães/gatos) numa moradia em zona urbana, com capacidade declarada de 15 animais. Efetua comunicação prévia nos termos do art. 3.º-A do DL 276/2001 (via DGAV), declarando 15 como "capacidade máxima".</w:t>
      </w:r>
    </w:p>
    <w:p>
      <w:r>
        <w:rPr>
          <w:b/>
          <w:i w:val="0"/>
        </w:rPr>
        <w:t>Conflito normativo:</w:t>
      </w:r>
    </w:p>
    <w:p>
      <w:pPr>
        <w:ind w:left="567"/>
      </w:pPr>
      <w:r>
        <w:rPr>
          <w:b/>
        </w:rPr>
        <w:t>• DL 314/2003, art. 3.º, n.º 2</w:t>
      </w:r>
      <w:r>
        <w:t>: limite de 4 animais por fogo em prédio urbano (ou 6 com aprovação de MVM e delegado de saúde).</w:t>
      </w:r>
    </w:p>
    <w:p>
      <w:pPr>
        <w:ind w:left="567"/>
      </w:pPr>
      <w:r>
        <w:rPr>
          <w:b/>
        </w:rPr>
        <w:t>• DL 276/2001, art. 3.º-A</w:t>
      </w:r>
      <w:r>
        <w:t xml:space="preserve"> (DL 260/2012): declaração de "capacidade máxima" pelo operador, sem limite numérico fixado em lei, sem remissão para DL 314/2003.</w:t>
      </w:r>
    </w:p>
    <w:p>
      <w:r>
        <w:rPr>
          <w:b/>
          <w:i w:val="0"/>
        </w:rPr>
        <w:t>Questão jurídica central:</w:t>
      </w:r>
    </w:p>
    <w:p>
      <w:pPr>
        <w:ind w:left="567"/>
      </w:pPr>
      <w:r>
        <w:rPr>
          <w:b w:val="0"/>
          <w:i/>
        </w:rPr>
        <w:t>O limite de 4 animais por fogo do DL 314/2003 aplica-se a estabelecimentos comerciais de alojamento de animais (hotéis, criadores, centros de recolha) instalados em prédios urbanos? Ou esse limite restringe-se à detenção privada, sendo o regime do DL 276/2001 o aplicável aos operadores comerciais?</w:t>
      </w:r>
    </w:p>
    <w:p>
      <w:pPr>
        <w:pStyle w:val="Heading1"/>
      </w:pPr>
      <w:r>
        <w:t>PARTE III — ANÁLISE JURÍDICA</w:t>
      </w:r>
    </w:p>
    <w:p>
      <w:pPr>
        <w:pStyle w:val="Heading2"/>
      </w:pPr>
      <w:r>
        <w:t>1. O argumento textual: o termo "fogo"</w:t>
      </w:r>
    </w:p>
    <w:p>
      <w:r>
        <w:rPr>
          <w:b w:val="0"/>
          <w:i w:val="0"/>
        </w:rPr>
        <w:t>O n.º 2 do art. 3.º do DL 314/2003 fixa o limite de 4 animais "por cada fogo". O conceito de "fogo" tem sentido técnico preciso no direito português:</w:t>
      </w:r>
    </w:p>
    <w:p>
      <w:pPr>
        <w:ind w:left="567"/>
      </w:pPr>
      <w:r>
        <w:rPr>
          <w:b/>
        </w:rPr>
        <w:t xml:space="preserve">• </w:t>
      </w:r>
      <w:r>
        <w:rPr>
          <w:b/>
        </w:rPr>
        <w:t>"Fogo"</w:t>
      </w:r>
      <w:r>
        <w:t xml:space="preserve"> corresponde, em linguagem cadastral e urbanística, a uma unidade habitacional (fração autónoma de uso habitacional). O Dicionário Jurídico e o Código do IMI utilizam "fogo" como equivalente a "habitação" ou "unidade de habitação".</w:t>
      </w:r>
    </w:p>
    <w:p>
      <w:pPr>
        <w:ind w:left="567"/>
      </w:pPr>
      <w:r>
        <w:rPr>
          <w:b/>
        </w:rPr>
        <w:t xml:space="preserve">• </w:t>
      </w:r>
      <w:r>
        <w:rPr>
          <w:b/>
        </w:rPr>
        <w:t>"Fração autónoma"</w:t>
      </w:r>
      <w:r>
        <w:t xml:space="preserve"> é conceito mais amplo: abrange unidades de habitação, de comércio, de serviços, armazéns, etc.</w:t>
      </w:r>
    </w:p>
    <w:p>
      <w:pPr>
        <w:ind w:left="567"/>
      </w:pPr>
      <w:r>
        <w:rPr>
          <w:b/>
        </w:rPr>
        <w:t xml:space="preserve">• </w:t>
      </w:r>
      <w:r>
        <w:rPr>
          <w:b/>
        </w:rPr>
        <w:t>O próprio art. 3.º distingue os dois termos</w:t>
      </w:r>
      <w:r>
        <w:t>: o n.º 2 usa "fogo" para o limite geral; o n.º 3 usa "fracções autónomas em regime de propriedade horizontal" para estender a matéria aos condomínios. A distinção é deliberada.</w:t>
      </w:r>
    </w:p>
    <w:p>
      <w:pPr>
        <w:ind w:left="283"/>
      </w:pPr>
      <w:r>
        <w:rPr>
          <w:b w:val="0"/>
          <w:i/>
          <w:color w:val="005522"/>
        </w:rPr>
        <w:t>⟶ Argumento: Um estabelecimento comercial de alojamento de animais não é um "fogo" no sentido técnico-jurídico. O limite de 4 animais por fogo destina-se à detenção privada (habitacional), não à atividade comercial regulada pelo DL 276/2001.</w:t>
      </w:r>
    </w:p>
    <w:p>
      <w:pPr>
        <w:pStyle w:val="Heading2"/>
      </w:pPr>
      <w:r>
        <w:t>2. O argumento estrutural: omissão no art. 5.º</w:t>
      </w:r>
    </w:p>
    <w:p>
      <w:r>
        <w:rPr>
          <w:b w:val="0"/>
          <w:i w:val="0"/>
        </w:rPr>
        <w:t>O DL 314/2003 contém um artigo específico para o comércio de cães e gatos (art. 5.º — "Comércio de cães e gatos"). Se o legislador pretendesse aplicar o limite de 4 animais do art. 3.º, n.º 2, aos estabelecimentos comerciais, teria feito remissão expressa no art. 5.º ou incluído aí a disposição limitativa. A ausência total de qualquer referência ao número máximo de animais no art. 5.º sugere que o legislador não quis aplicar esse limite às instalações comerciais.</w:t>
      </w:r>
    </w:p>
    <w:p>
      <w:pPr>
        <w:ind w:left="283"/>
      </w:pPr>
      <w:r>
        <w:rPr>
          <w:b w:val="0"/>
          <w:i/>
          <w:color w:val="005522"/>
        </w:rPr>
        <w:t>⟶ Argumento a contrario: A omissão no art. 5.º (comercial) do que está no art. 3.º (detenção geral) é evidência sistemática de que os dois regimes não foram pensados para coexistir sobre o mesmo objeto.</w:t>
      </w:r>
    </w:p>
    <w:p>
      <w:pPr>
        <w:pStyle w:val="Heading2"/>
      </w:pPr>
      <w:r>
        <w:t>3. O argumento cronológico e de especialidade (lex posterior e lex specialis)</w:t>
      </w:r>
    </w:p>
    <w:p>
      <w:r>
        <w:rPr>
          <w:b w:val="0"/>
          <w:i w:val="0"/>
        </w:rPr>
        <w:t>Para efeitos de conflito normativo entre diplomas de igual hierarquia (dois DL), aplicam-se os critérios clássicos:</w:t>
      </w:r>
    </w:p>
    <w:p>
      <w:pPr>
        <w:ind w:left="567"/>
      </w:pPr>
      <w:r>
        <w:rPr>
          <w:b/>
        </w:rPr>
        <w:t>a) Lex specialis derogat legi generali</w:t>
      </w:r>
      <w:r>
        <w:t>: DL 276/2001 é norma especial para operadores de alojamentos de animais de companhia. DL 314/2003 é norma de saúde pública (PNLVERAZ) com incidência geral sobre qualquer detentor. Em matéria de exploração comercial de alojamentos, DL 276/2001 prevalece sobre DL 314/2003.</w:t>
      </w:r>
    </w:p>
    <w:p>
      <w:pPr>
        <w:ind w:left="567"/>
      </w:pPr>
      <w:r>
        <w:rPr>
          <w:b/>
        </w:rPr>
        <w:t>b) Lex posterior derogat legi priori</w:t>
      </w:r>
      <w:r>
        <w:t>: O DL 260/2012 (que aditou o art. 3.º-A ao DL 276/2001 e fixou a exigência de declaração de "capacidade máxima") é de 2012 — 9 anos posterior ao DL 314/2003 (2003). O DL 260/2012 não cross-remete ao limite do DL 314/2003. Se o legislador de 2012 quisesse subordinar a comunicação prévia ao limite de 4 animais/fogo, teria explicitado.</w:t>
      </w:r>
    </w:p>
    <w:p>
      <w:pPr>
        <w:ind w:left="283"/>
      </w:pPr>
      <w:r>
        <w:rPr>
          <w:b w:val="0"/>
          <w:i/>
          <w:color w:val="005522"/>
        </w:rPr>
        <w:t>⟶ Estes critérios favorecem a aplicação de DL 276/2001 (via DL 260/2012) como regime regulador dos operadores de alojamentos, sem o limite numérico do DL 314/2003.</w:t>
      </w:r>
    </w:p>
    <w:p>
      <w:pPr>
        <w:pStyle w:val="Heading2"/>
      </w:pPr>
      <w:r>
        <w:t>4. O argumento teleológico: finalidade do DL 314/2003</w:t>
      </w:r>
    </w:p>
    <w:p>
      <w:r>
        <w:rPr>
          <w:b w:val="0"/>
          <w:i w:val="0"/>
        </w:rPr>
        <w:t>O DL 314/2003 visa o PNLVERAZ — prevenção e vigilância epidemiológica da raiva e outras zoonoses. O art. 3.º, n.º 2, limita o número de animais em prédios urbanos para prevenir riscos hígio-sanitários de acumulação de animais em habitações privadas (a chamada "síndrome de Noé"). Este problema — acumulação patológica em habitações privadas, sem cuidados veterinários — é distinto do problema dos estabelecimentos comerciais, que estão sujeitos a vigilância veterinária obrigatória (MV responsável, inspeção da DGAV).</w:t>
      </w:r>
    </w:p>
    <w:p>
      <w:pPr>
        <w:ind w:left="283"/>
      </w:pPr>
      <w:r>
        <w:rPr>
          <w:b w:val="0"/>
          <w:i/>
          <w:color w:val="005522"/>
        </w:rPr>
        <w:t>⟶ Teleologia: O art. 3.º, n.º 2, do DL 314/2003 foi pensado para a detenção privada desordenada, não para estabelecimentos comerciais sujeitos a supervisão veterinária e comunicação prévia.</w:t>
      </w:r>
    </w:p>
    <w:p>
      <w:pPr>
        <w:pStyle w:val="Heading2"/>
      </w:pPr>
      <w:r>
        <w:t>5. A prática administrativa da DGAV (2017 e 2025)</w:t>
      </w:r>
    </w:p>
    <w:p>
      <w:r>
        <w:rPr>
          <w:b w:val="0"/>
          <w:i w:val="0"/>
        </w:rPr>
        <w:t>A DGAV publicou dois documentos de orientação relevantes:</w:t>
      </w:r>
    </w:p>
    <w:p>
      <w:pPr>
        <w:ind w:left="567"/>
      </w:pPr>
      <w:r>
        <w:rPr>
          <w:b/>
        </w:rPr>
        <w:t>a) Formulário de Comunicação Prévia (2017)</w:t>
      </w:r>
      <w:r>
        <w:t>: lista os elementos obrigatórios da comunicação prévia nos termos do DL 260/2012. Inclui "capacidade máxima de animais e respetivas espécies a alojar" — sem qualquer referência ao limite do DL 314/2003 e sem fixar teto numérico. Fonte: DGAV, formulário de comunicação prévia, outubro de 2017.</w:t>
      </w:r>
    </w:p>
    <w:p>
      <w:pPr>
        <w:ind w:left="567"/>
      </w:pPr>
      <w:r>
        <w:rPr>
          <w:b/>
        </w:rPr>
        <w:t>b) FAQ para alojamentos de criação (2025)</w:t>
      </w:r>
      <w:r>
        <w:t>: documento de perguntas frequentes da DGAV sobre requisitos para alojamentos de reprodução e criação. Elenca toda a legislação aplicável como "Decreto-Lei n.º 276/2001, de 17 de outubro, alterado pelo Decreto-Lei n.º 260/2012, de 12 de dezembro" — sem qualquer menção ao DL 314/2003. Não estabelece qualquer limite numérico máximo de animais. Fonte: DGAV, FAQ alojamentos de criação, 2025.</w:t>
      </w:r>
    </w:p>
    <w:p>
      <w:pPr>
        <w:ind w:left="283"/>
      </w:pPr>
      <w:r>
        <w:rPr>
          <w:b w:val="0"/>
          <w:i/>
          <w:color w:val="005522"/>
        </w:rPr>
        <w:t>⟶ A prática administrativa da DGAV — a autoridade competente para a aceitação das comunicações prévias de alojamentos de animais — trata o DL 276/2001/260/2012 como o quadro regulador exclusivo, sem aplicar o limite do DL 314/2003.</w:t>
      </w:r>
    </w:p>
    <w:p>
      <w:pPr>
        <w:pStyle w:val="Heading2"/>
      </w:pPr>
      <w:r>
        <w:t>6. Contra-argumentos e resposta (perspetiva da prevalência do DL 314/2003)</w:t>
      </w:r>
    </w:p>
    <w:p>
      <w:r>
        <w:rPr>
          <w:b w:val="0"/>
          <w:i w:val="0"/>
        </w:rPr>
        <w:t>Podem formular-se argumentos em sentido contrário:</w:t>
      </w:r>
    </w:p>
    <w:p>
      <w:pPr>
        <w:ind w:left="567"/>
      </w:pPr>
      <w:r>
        <w:rPr>
          <w:b/>
        </w:rPr>
        <w:t>a) "Detentor" inclui comerciais</w:t>
      </w:r>
      <w:r>
        <w:t>: O art. 2.º, al. d), do DL 314/2003 define "detentor" como "qualquer pessoa, singular ou coletiva, [...] com ou sem fins comerciais". Portanto, o art. 3.º pode aplicar-se a operadores comerciais.</w:t>
      </w:r>
    </w:p>
    <w:p>
      <w:pPr>
        <w:ind w:left="850"/>
      </w:pPr>
      <w:r>
        <w:rPr>
          <w:b/>
        </w:rPr>
        <w:t>▸ Resposta</w:t>
      </w:r>
      <w:r>
        <w:t>: A definição ampla de "detentor" não colapsa a distinção entre "detenção em habitação" e "exploração de alojamento". O art. 3.º, n.º 2, limita o que pode existir "por cada fogo" — e um estabelecimento comercial não é um "fogo".</w:t>
      </w:r>
    </w:p>
    <w:p>
      <w:pPr>
        <w:ind w:left="567"/>
      </w:pPr>
      <w:r>
        <w:rPr>
          <w:b/>
        </w:rPr>
        <w:t>b) Norma de ordem pública</w:t>
      </w:r>
      <w:r>
        <w:t>: DL 314/2003 protege a saúde pública e o bem-estar animal; essas razões de ordem pública justificam aplicação a qualquer detentor.</w:t>
      </w:r>
    </w:p>
    <w:p>
      <w:pPr>
        <w:ind w:left="850"/>
      </w:pPr>
      <w:r>
        <w:rPr>
          <w:b/>
        </w:rPr>
        <w:t>▸ Resposta</w:t>
      </w:r>
      <w:r>
        <w:t>: A saúde pública é igualmente protegida pelo regime especial do DL 276/2001 — que exige MV responsável, programa profilático, inspeção periódica. Não há razão para a proteção de saúde pública no contexto de um estabelecimento comercial sujeito a supervisão veterinária exigir o mesmo limite numérico que se aplica a uma habitação privada.</w:t>
      </w:r>
    </w:p>
    <w:p>
      <w:pPr>
        <w:ind w:left="567"/>
      </w:pPr>
      <w:r>
        <w:rPr>
          <w:b/>
        </w:rPr>
        <w:t>c) Câmaras municipais competentes em matéria de DL 314/2003</w:t>
      </w:r>
      <w:r>
        <w:t>: As câmaras municipais são a entidade que aplica DL 314/2003 (art. 13.º). Podem invocar o art. 3.º, n.º 2, para recusar licenciamento de alojamento.</w:t>
      </w:r>
    </w:p>
    <w:p>
      <w:pPr>
        <w:ind w:left="850"/>
      </w:pPr>
      <w:r>
        <w:rPr>
          <w:b/>
        </w:rPr>
        <w:t>▸ Resposta</w:t>
      </w:r>
      <w:r>
        <w:t>: Não existe jurisprudência dos tribunais administrativos portugueses que confirme esta prática. A competência das câmaras para aplicar DL 314/2003 não implica que o art. 3.º, n.º 2, abranja estabelecimentos comerciais. A DGAV aceita as comunicações prévias com capacidade máxima declarada pelo operador.</w:t>
      </w:r>
    </w:p>
    <w:p>
      <w:pPr>
        <w:pStyle w:val="Heading1"/>
      </w:pPr>
      <w:r>
        <w:t>PARTE IV — FONTES CONSULTADAS E LACUNAS DE PESQUISA</w:t>
      </w:r>
    </w:p>
    <w:p>
      <w:pPr>
        <w:pStyle w:val="Heading2"/>
      </w:pPr>
      <w:r>
        <w:t>Fontes confirmadas</w:t>
      </w:r>
    </w:p>
    <w:p>
      <w:pPr>
        <w:ind w:left="567"/>
      </w:pPr>
      <w:r>
        <w:rPr>
          <w:b/>
        </w:rPr>
        <w:t xml:space="preserve">✓ </w:t>
      </w:r>
      <w:r>
        <w:t>DL 314/2003, versão consolidada a 8-8-2019 — texto integral, PGD Lisboa (consultado mai. 2026)</w:t>
      </w:r>
    </w:p>
    <w:p>
      <w:pPr>
        <w:ind w:left="567"/>
      </w:pPr>
      <w:r>
        <w:rPr>
          <w:b/>
        </w:rPr>
        <w:t xml:space="preserve">✓ </w:t>
      </w:r>
      <w:r>
        <w:t>DL 260/2012, de 12 de dezembro — texto integral, DRE.pt (consultado na sessão anterior)</w:t>
      </w:r>
    </w:p>
    <w:p>
      <w:pPr>
        <w:ind w:left="567"/>
      </w:pPr>
      <w:r>
        <w:rPr>
          <w:b/>
        </w:rPr>
        <w:t xml:space="preserve">✓ </w:t>
      </w:r>
      <w:r>
        <w:t>DGAV, formulário de comunicação prévia (out. 2017) — lista de requisitos sem referência ao DL 314/2003</w:t>
      </w:r>
    </w:p>
    <w:p>
      <w:pPr>
        <w:ind w:left="567"/>
      </w:pPr>
      <w:r>
        <w:rPr>
          <w:b/>
        </w:rPr>
        <w:t xml:space="preserve">✓ </w:t>
      </w:r>
      <w:r>
        <w:t>DGAV, FAQ alojamentos de criação (2025) — legislação aplicável: apenas DL 276/2001/260/2012</w:t>
      </w:r>
    </w:p>
    <w:p>
      <w:pPr>
        <w:ind w:left="567"/>
      </w:pPr>
      <w:r>
        <w:rPr>
          <w:b/>
        </w:rPr>
        <w:t xml:space="preserve">✓ </w:t>
      </w:r>
      <w:r>
        <w:t>DGAV, página de requisitos de alojamentos — sem menção ao DL 314/2003</w:t>
      </w:r>
    </w:p>
    <w:p>
      <w:pPr>
        <w:pStyle w:val="Heading2"/>
      </w:pPr>
      <w:r>
        <w:t>Fontes não acessíveis ou sem resultado relevante</w:t>
      </w:r>
    </w:p>
    <w:p>
      <w:pPr>
        <w:ind w:left="567"/>
      </w:pPr>
      <w:r>
        <w:rPr>
          <w:b/>
        </w:rPr>
        <w:t xml:space="preserve">✗ </w:t>
      </w:r>
      <w:r>
        <w:t>CIDP, "A Detenção de Animais de Companhia", RJLB 2019/2, pp. 229-260 — URL retorna erro 503 (inacessível)</w:t>
      </w:r>
    </w:p>
    <w:p>
      <w:pPr>
        <w:ind w:left="567"/>
      </w:pPr>
      <w:r>
        <w:rPr>
          <w:b/>
        </w:rPr>
        <w:t xml:space="preserve">✗ </w:t>
      </w:r>
      <w:r>
        <w:t>Jurisprudência dos tribunais administrativos — pesquisa sem resultados específicos sobre este conflito normativo</w:t>
      </w:r>
    </w:p>
    <w:p>
      <w:pPr>
        <w:ind w:left="567"/>
      </w:pPr>
      <w:r>
        <w:rPr>
          <w:b/>
        </w:rPr>
        <w:t xml:space="preserve">✗ </w:t>
      </w:r>
      <w:r>
        <w:t>Pareceres DGAV ou Provedoria de Justiça sobre este conflito específico — nenhum identificado nas pesquisas</w:t>
      </w:r>
    </w:p>
    <w:p>
      <w:pPr>
        <w:ind w:left="567"/>
      </w:pPr>
      <w:r>
        <w:rPr>
          <w:b/>
        </w:rPr>
        <w:t xml:space="preserve">✗ </w:t>
      </w:r>
      <w:r>
        <w:t>Sandra Passinhas, "Os animais e o regime português da propriedade horizontal" (OA, 2006) — pode conter análise relevante; não acessada</w:t>
      </w:r>
    </w:p>
    <w:p>
      <w:pPr>
        <w:ind w:left="567"/>
      </w:pPr>
      <w:r>
        <w:rPr>
          <w:b/>
        </w:rPr>
        <w:t xml:space="preserve">✗ </w:t>
      </w:r>
      <w:r>
        <w:t>APMVEAC, revisão crítica da legislação (PDF) — não contém texto extraível sobre este ponto específico</w:t>
      </w:r>
    </w:p>
    <w:p>
      <w:r>
        <w:rPr>
          <w:b w:val="0"/>
          <w:i/>
          <w:color w:val="444444"/>
          <w:sz w:val="20"/>
        </w:rPr>
        <w:t>Importante: A ausência de jurisprudência específica sobre este conflito pode refletir que, na prática, a DGAV aceita as comunicações prévias de operadores comerciais com capacidade superior a 6 animais, sem que haja impugnação judicial. Se câmaras municipais recusassem licenças com base no DL 314/2003, seria de esperar decisões judiciais — a sua ausência é, em si mesma, indicativa.</w:t>
      </w:r>
    </w:p>
    <w:p>
      <w:pPr>
        <w:pStyle w:val="Heading1"/>
      </w:pPr>
      <w:r>
        <w:t>PARTE V — CONCLUSÃO REVISTA</w:t>
      </w:r>
    </w:p>
    <w:p>
      <w:r>
        <w:rPr>
          <w:b/>
          <w:i w:val="0"/>
        </w:rPr>
        <w:t>Síntese das posições:</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Questão</w:t>
            </w:r>
          </w:p>
        </w:tc>
        <w:tc>
          <w:tcPr>
            <w:tcW w:type="dxa" w:w="2880"/>
          </w:tcPr>
          <w:p>
            <w:r>
              <w:rPr>
                <w:b/>
              </w:rPr>
              <w:t>DL 314/2003 prevalece</w:t>
            </w:r>
          </w:p>
        </w:tc>
        <w:tc>
          <w:tcPr>
            <w:tcW w:type="dxa" w:w="2880"/>
          </w:tcPr>
          <w:p>
            <w:r>
              <w:rPr>
                <w:b/>
              </w:rPr>
              <w:t>DL 276/2001 prevalece</w:t>
            </w:r>
          </w:p>
        </w:tc>
      </w:tr>
      <w:tr>
        <w:tc>
          <w:tcPr>
            <w:tcW w:type="dxa" w:w="2880"/>
          </w:tcPr>
          <w:p>
            <w:r>
              <w:t>Âmbito do art. 3.º n.º 2</w:t>
            </w:r>
          </w:p>
        </w:tc>
        <w:tc>
          <w:tcPr>
            <w:tcW w:type="dxa" w:w="2880"/>
          </w:tcPr>
          <w:p>
            <w:r>
              <w:t>"Prédio urbano" inclui qualquer imóvel, "detentor" inclui comerciais</w:t>
            </w:r>
          </w:p>
        </w:tc>
        <w:tc>
          <w:tcPr>
            <w:tcW w:type="dxa" w:w="2880"/>
          </w:tcPr>
          <w:p>
            <w:r>
              <w:t>"Fogo" = habitação privada; art. 5.º não limita número em comércio</w:t>
            </w:r>
          </w:p>
        </w:tc>
      </w:tr>
      <w:tr>
        <w:tc>
          <w:tcPr>
            <w:tcW w:type="dxa" w:w="2880"/>
          </w:tcPr>
          <w:p>
            <w:r>
              <w:t>Critério temporal</w:t>
            </w:r>
          </w:p>
        </w:tc>
        <w:tc>
          <w:tcPr>
            <w:tcW w:type="dxa" w:w="2880"/>
          </w:tcPr>
          <w:p>
            <w:r>
              <w:t>DL 314/2003 (2003) posterior a DL 276/2001 (2001)</w:t>
            </w:r>
          </w:p>
        </w:tc>
        <w:tc>
          <w:tcPr>
            <w:tcW w:type="dxa" w:w="2880"/>
          </w:tcPr>
          <w:p>
            <w:r>
              <w:t>DL 260/2012 (2012) posterior ao DL 314/2003 (2003)</w:t>
            </w:r>
          </w:p>
        </w:tc>
      </w:tr>
      <w:tr>
        <w:tc>
          <w:tcPr>
            <w:tcW w:type="dxa" w:w="2880"/>
          </w:tcPr>
          <w:p>
            <w:r>
              <w:t>Critério de especialidade</w:t>
            </w:r>
          </w:p>
        </w:tc>
        <w:tc>
          <w:tcPr>
            <w:tcW w:type="dxa" w:w="2880"/>
          </w:tcPr>
          <w:p>
            <w:r>
              <w:t>Saúde pública é norma de ordem pública superior</w:t>
            </w:r>
          </w:p>
        </w:tc>
        <w:tc>
          <w:tcPr>
            <w:tcW w:type="dxa" w:w="2880"/>
          </w:tcPr>
          <w:p>
            <w:r>
              <w:t>DL 276/2001 é lex specialis para operadores de alojamentos</w:t>
            </w:r>
          </w:p>
        </w:tc>
      </w:tr>
      <w:tr>
        <w:tc>
          <w:tcPr>
            <w:tcW w:type="dxa" w:w="2880"/>
          </w:tcPr>
          <w:p>
            <w:r>
              <w:t>Prática DGAV</w:t>
            </w:r>
          </w:p>
        </w:tc>
        <w:tc>
          <w:tcPr>
            <w:tcW w:type="dxa" w:w="2880"/>
          </w:tcPr>
          <w:p>
            <w:r>
              <w:t>(sem evidência de aplicação do limite a estabelecimentos comerciais)</w:t>
            </w:r>
          </w:p>
        </w:tc>
        <w:tc>
          <w:tcPr>
            <w:tcW w:type="dxa" w:w="2880"/>
          </w:tcPr>
          <w:p>
            <w:r>
              <w:t>FAQ 2025 e formulário 2017: apenas DL 276/2001/260/2012; sem limite numérico</w:t>
            </w:r>
          </w:p>
        </w:tc>
      </w:tr>
      <w:tr>
        <w:tc>
          <w:tcPr>
            <w:tcW w:type="dxa" w:w="2880"/>
          </w:tcPr>
          <w:p>
            <w:r>
              <w:t>Jurisprudência</w:t>
            </w:r>
          </w:p>
        </w:tc>
        <w:tc>
          <w:tcPr>
            <w:tcW w:type="dxa" w:w="2880"/>
          </w:tcPr>
          <w:p>
            <w:r>
              <w:t>(nenhuma identificada)</w:t>
            </w:r>
          </w:p>
        </w:tc>
        <w:tc>
          <w:tcPr>
            <w:tcW w:type="dxa" w:w="2880"/>
          </w:tcPr>
          <w:p>
            <w:r>
              <w:t>(nenhuma identificada)</w:t>
            </w:r>
          </w:p>
        </w:tc>
      </w:tr>
      <w:tr>
        <w:tc>
          <w:tcPr>
            <w:tcW w:type="dxa" w:w="2880"/>
          </w:tcPr>
          <w:p>
            <w:r>
              <w:t>Doutrina</w:t>
            </w:r>
          </w:p>
        </w:tc>
        <w:tc>
          <w:tcPr>
            <w:tcW w:type="dxa" w:w="2880"/>
          </w:tcPr>
          <w:p>
            <w:r>
              <w:t>(sem fonte identificada)</w:t>
            </w:r>
          </w:p>
        </w:tc>
        <w:tc>
          <w:tcPr>
            <w:tcW w:type="dxa" w:w="2880"/>
          </w:tcPr>
          <w:p>
            <w:r>
              <w:t>CIDP 2019 inacessível; sem posição verificada</w:t>
            </w:r>
          </w:p>
        </w:tc>
      </w:tr>
    </w:tbl>
    <w:p/>
    <w:p>
      <w:r>
        <w:rPr>
          <w:b/>
          <w:i w:val="0"/>
        </w:rPr>
        <w:t>Conclusão fundamentada:</w:t>
      </w:r>
    </w:p>
    <w:p>
      <w:r>
        <w:rPr>
          <w:b w:val="0"/>
          <w:i w:val="0"/>
        </w:rPr>
        <w:t>Com base nas fontes verificadas, a posição com suporte mais sólido é a seguinte:</w:t>
      </w:r>
    </w:p>
    <w:p>
      <w:pPr>
        <w:ind w:left="567"/>
      </w:pPr>
      <w:r>
        <w:rPr>
          <w:b/>
        </w:rPr>
        <w:t>1. Para DETENTORES PRIVADOS em habitação (fogo):</w:t>
      </w:r>
      <w:r>
        <w:t xml:space="preserve"> O art. 3.º, n.º 2, do DL 314/2003 aplica-se inequivocamente. Máximo de 4 animais (ou 6 com aprovação de MVM + Delegado de Saúde). Esta é a finalidade principal da norma.</w:t>
      </w:r>
    </w:p>
    <w:p>
      <w:pPr>
        <w:ind w:left="567"/>
      </w:pPr>
      <w:r>
        <w:rPr>
          <w:b/>
        </w:rPr>
        <w:t>2. Para OPERADORES DE ALOJAMENTOS COMERCIAIS em prédio urbano:</w:t>
      </w:r>
      <w:r>
        <w:t xml:space="preserve"> O argumento mais fundamentado — textualmente ("fogo" ≠ estabelecimento comercial), sistematicamente (art. 5.º do DL 314/2003 não impõe limite numérico; DL 276/2001 é lex specialis) e em termos de prática administrativa (DGAV aceita comunicações com qualquer capacidade máxima declarada) — aponta para a aplicação do regime do DL 276/2001 (na redação do DL 260/2012), sem o limite numérico do DL 314/2003.</w:t>
      </w:r>
    </w:p>
    <w:p>
      <w:pPr>
        <w:ind w:left="567"/>
      </w:pPr>
      <w:r>
        <w:rPr>
          <w:b/>
        </w:rPr>
        <w:t>3. Insegurança jurídica subsiste:</w:t>
      </w:r>
      <w:r>
        <w:t xml:space="preserve"> O conflito não foi resolvido explicitamente pelo legislador. Não existe jurisprudência dos tribunais administrativos nem parecer publicado da Provedoria de Justiça ou DGAV sobre este ponto específico. Um operador comercial num prédio urbano com 15 animais pode confrontar interpretações divergentes entre a DGAV (que aceita a comunicação prévia) e a câmara municipal (que pode invocar DL 314/2003).</w:t>
      </w:r>
    </w:p>
    <w:p>
      <w:r>
        <w:rPr>
          <w:b w:val="0"/>
          <w:i w:val="0"/>
          <w:color w:val="AA2200"/>
          <w:sz w:val="20"/>
        </w:rPr>
        <w:t>CORREÇÃO EM RELAÇÃO À VERSÃO ANTERIOR DESTE DOCUMENTO: A versão anterior concluía que "DL 314/2003 PREVALECE como norma de LIMITE ABSOLUTO" e afirmava que "câmaras municipais aplicam DL 314/2003 como limite absoluto" — sem identificar qualquer fonte para essas afirmações. Essa conclusão era infundada. A presente versão apresenta as duas posições com os respetivos fundamentos verificados e reconhece que a posição com maior suporte jurídico (textual, sistemático e de prática administrativa) favorece a aplicação do DL 276/2001/260/2012 para operadores comerciais, mas sem afirmar certeza que a lei não oferece.</w:t>
      </w:r>
    </w:p>
    <w:p>
      <w:pPr>
        <w:pStyle w:val="Heading1"/>
      </w:pPr>
      <w:r>
        <w:t>PARTE VI — RECOMENDAÇÃO LEGISLATIVA</w:t>
      </w:r>
    </w:p>
    <w:p>
      <w:r>
        <w:rPr>
          <w:b w:val="0"/>
          <w:i w:val="0"/>
        </w:rPr>
        <w:t>A insegurança jurídica identificada justifica intervenção legislativa. O RGBEAC (proposta, junho de 2025) e o Código do Animal (proposta, revisão de março de 2026) deveriam incluir disposição expressa que:</w:t>
      </w:r>
    </w:p>
    <w:p>
      <w:pPr>
        <w:ind w:left="567"/>
      </w:pPr>
      <w:r>
        <w:rPr>
          <w:b/>
        </w:rPr>
        <w:t xml:space="preserve">• </w:t>
      </w:r>
      <w:r>
        <w:t>Esclareça que o limite do art. 3.º, n.º 2, do DL 314/2003 se aplica à detenção privada em habitações (fogos) e não aos operadores de alojamentos sujeitos a comunicação prévia ou autorização ao abrigo do DL 276/2001;</w:t>
      </w:r>
    </w:p>
    <w:p>
      <w:pPr>
        <w:ind w:left="567"/>
      </w:pPr>
      <w:r>
        <w:rPr>
          <w:b/>
        </w:rPr>
        <w:t xml:space="preserve">• </w:t>
      </w:r>
      <w:r>
        <w:t>OU, alternativamente, fixe limites de capacidade máxima para alojamentos comerciais em prédios urbanos baseados em critérios técnicos de bem-estar animal (área mínima por animal, ventilação, ruído), e não num limite numérico fixo, adaptando os requisitos do @regulamento europeu (Regulamento 2023/0447);</w:t>
      </w:r>
    </w:p>
    <w:p>
      <w:pPr>
        <w:ind w:left="567"/>
      </w:pPr>
      <w:r>
        <w:rPr>
          <w:b/>
        </w:rPr>
        <w:t xml:space="preserve">• </w:t>
      </w:r>
      <w:r>
        <w:t>Defina claramente a articulação entre as competências da DGAV (comunicação prévia de alojamentos) e das câmaras municipais (DL 314/2003 e regulamentos municipais de urbanismo e saúde pública).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