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93" w:lineRule="auto"/>
      </w:pPr>
      <w:r>
        <w:rPr>
          <w:rFonts w:ascii="Aptos" w:hAnsi="Aptos" w:cs="Aptos" w:eastAsia="Aptos"/>
          <w:b/>
          <w:i w:val="0"/>
          <w:color w:val="5C7891"/>
          <w:spacing w:val="50"/>
          <w:sz w:val="17"/>
        </w:rPr>
        <w:t>ANEXO AO MEMORANDO TÉCNICO</w:t>
      </w:r>
    </w:p>
    <w:p>
      <w:pPr>
        <w:spacing w:before="0" w:after="40" w:line="293" w:lineRule="auto"/>
      </w:pPr>
      <w:r>
        <w:rPr>
          <w:rFonts w:ascii="Aptos" w:hAnsi="Aptos" w:cs="Aptos" w:eastAsia="Aptos"/>
          <w:b/>
          <w:i w:val="0"/>
          <w:color w:val="35506B"/>
          <w:sz w:val="42"/>
        </w:rPr>
        <w:t>Delimitação entre o Decreto-Lei n.º 314/2003 e o Decreto-Lei n.º 276/2001</w:t>
      </w:r>
    </w:p>
    <w:p>
      <w:pPr>
        <w:spacing w:before="0" w:after="200" w:line="293" w:lineRule="auto"/>
      </w:pPr>
      <w:r>
        <w:rPr>
          <w:rFonts w:ascii="Aptos" w:hAnsi="Aptos" w:cs="Aptos" w:eastAsia="Aptos"/>
          <w:b w:val="0"/>
          <w:i w:val="0"/>
          <w:color w:val="5C7891"/>
          <w:sz w:val="22"/>
        </w:rPr>
        <w:t>Os limites de alojamento por prédio não constituem limiar de capacidade dos estabelecimentos de criação</w:t>
      </w:r>
    </w:p>
    <w:p>
      <w:pPr>
        <w:pBdr>
          <w:bottom w:val="single" w:sz="8" w:space="1" w:color="A9C2D8"/>
        </w:pBdr>
        <w:spacing w:before="0" w:after="120" w:line="40" w:lineRule="exact"/>
      </w:pPr>
    </w:p>
    <w:p>
      <w:pPr>
        <w:spacing w:before="0" w:after="280" w:line="293" w:lineRule="auto"/>
      </w:pPr>
      <w:r>
        <w:rPr>
          <w:rFonts w:ascii="Aptos" w:hAnsi="Aptos" w:cs="Aptos" w:eastAsia="Aptos"/>
          <w:b w:val="0"/>
          <w:i w:val="0"/>
          <w:color w:val="7C8894"/>
          <w:sz w:val="17"/>
        </w:rPr>
        <w:t>Direção-Geral de Alimentação e Veterinária   ·   setembro de 2026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1.  </w:t>
      </w:r>
      <w:r>
        <w:rPr>
          <w:rFonts w:ascii="Aptos" w:hAnsi="Aptos" w:cs="Aptos" w:eastAsia="Aptos"/>
          <w:b/>
          <w:i w:val="0"/>
          <w:color w:val="35506B"/>
          <w:sz w:val="27"/>
        </w:rPr>
        <w:t>Questão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Discute-se se os limites de animais por fogo fixados no artigo 3.º do Decreto-Lei n.º 314/2003 condicionam a capacidade dos estabelecimentos de criação de cães e gatos e, por essa via, o acesso à atividade regulada pelo Decreto-Lei n.º 276/2001. A leitura afirmativa tem sido sustentada sem demonstração e conduz a resultados que a própria arquitetura dos dois diplomas não comporta.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D8C9AE"/>
              <w:bottom w:val="nil"/>
              <w:right w:val="nil"/>
            </w:tcBorders>
            <w:shd w:val="clear" w:color="auto" w:fill="F7F4ED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>Conclusão: os limites do artigo 3.º do Decreto-Lei n.º 314/2003 são normas de polícia sanitária sobre a detenção doméstica de animais. Não fixam a lotação dos alojamentos sujeitos ao Decreto-Lei n.º 276/2001, cuja capacidade tem regime próprio, e não constituem condição de acesso à atividade de criação.</w:t>
            </w:r>
          </w:p>
        </w:tc>
      </w:tr>
    </w:tbl>
    <w:p>
      <w:pPr>
        <w:spacing w:before="0" w:after="180" w:line="293" w:lineRule="auto"/>
      </w:pP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2.  </w:t>
      </w:r>
      <w:r>
        <w:rPr>
          <w:rFonts w:ascii="Aptos" w:hAnsi="Aptos" w:cs="Aptos" w:eastAsia="Aptos"/>
          <w:b/>
          <w:i w:val="0"/>
          <w:color w:val="35506B"/>
          <w:sz w:val="27"/>
        </w:rPr>
        <w:t>Argumento literal e teleológico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Decreto-Lei n.º 314/2003 aprova o Programa Nacional de Luta e Vigilância Epidemiológica da Raiva Animal e Outras Zoonoses e estabelece as regras relativas à posse e detenção, comércio, exposições e entrada em território nacional de animais suscetíveis à raiva. O seu objeto é sanitário e epidemiológico. A epígrafe do artigo 3.º é «Detenção de cães e gatos»; o sujeito das suas normas é o detentor; a unidade de referência é o fogo.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Decreto-Lei n.º 276/2001 tem objeto distinto. Nos termos do seu artigo 1.º, regula o exercício da atividade de exploração de alojamentos, independentemente do seu fim, e de venda de animais de companhia. Uma norma dirige-se a quem detém; a outra a quem exerce uma atividade.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finalidade confirma a leitura. O n.º 1 do artigo 3.º do Decreto-Lei n.º 314/2003 condiciona o alojamento à ausência de riscos hígio-sanitários relativamente à conspurcação ambiental e a doenças transmissíveis ao homem. O bem jurídico é a saúde pública na sua dimensão de vizinhança, não a proteção do animal na atividade económica, que é o objeto do Decreto-Lei n.º 276/2001 enquanto diploma de execução da Convenção Europeia para a Proteção dos Animais de Companhia.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3.  </w:t>
      </w:r>
      <w:r>
        <w:rPr>
          <w:rFonts w:ascii="Aptos" w:hAnsi="Aptos" w:cs="Aptos" w:eastAsia="Aptos"/>
          <w:b/>
          <w:i w:val="0"/>
          <w:color w:val="35506B"/>
          <w:sz w:val="27"/>
        </w:rPr>
        <w:t>Argumento sistemático: a articulação feita pelo legislador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Este é o elemento decisivo e resulta da sequência legislativa. O Decreto-Lei n.º 314/2003 e o Decreto-Lei n.º 315/2003 têm a mesma data, 17 de dezembro de 2003. O segundo alterou o Decreto-Lei n.º 276/2001. No mesmo momento em que introduziu no ordenamento os limites de detenção por fogo, o legislador interveio no diploma dos alojamentos para articular os dois regimes.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redação original de 2001 da definição de hospedagem sem fins lucrativos não continha qualquer remissão para legislação sanitária.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p) 'Hospedagem sem fins lucrativos' alojamento, permanente ou temporário, de animais de companhia que não vise a obtenção de rendimentos;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Al. p) do artigo 2.º do Decreto-Lei n.º 276/2001, redação originária de 17 de outubro de 2001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Decreto-Lei n.º 315/2003 acrescentou-lhe uma exceção expressa, por remissão para o artigo 3.º do diploma da raiva.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p) 'Hospedagem sem fins lucrativos', alojamento, permanente ou temporário, de animais de companhia que não vise a obtenção de rendimentos, com excepção das referidas no n.º 3 do artigo 3.º do diploma que aprova o Plano Nacional de Luta e Vigilância da Raiva Animal e outras Zoonoses;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Al. p) do artigo 2.º do Decreto-Lei n.º 276/2001, na redação do Decreto-Lei n.º 315/2003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sentido da intervenção é inequívoco. Confrontado com a coexistência dos dois regimes, o legislador não converteu os limites de detenção em limiar de capacidade dos alojamentos. Fez o inverso: subtraiu ao conceito de alojamento sujeito a título de acesso as situações de detenção que o diploma sanitário regula. Delimitou os planos em vez de os sobrepor.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E0BEBA"/>
              <w:bottom w:val="nil"/>
              <w:right w:val="nil"/>
            </w:tcBorders>
            <w:shd w:val="clear" w:color="auto" w:fill="FAF2F1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9"/>
              </w:rPr>
              <w:t>Assinala-se que a remissão ficou desatualizada. A numeração do artigo 3.º do Decreto-Lei n.º 314/2003 foi posteriormente afetada, pelo que a referência ao seu n.º 3 já não corresponde à disposição visada em 2003. A correção da remissão deve ser considerada no âmbito da revisão em curso. A imprecisão sobrevinda não altera o sentido da opção legislativa originária.</w:t>
            </w:r>
          </w:p>
        </w:tc>
      </w:tr>
    </w:tbl>
    <w:p>
      <w:pPr>
        <w:spacing w:before="0" w:after="180" w:line="293" w:lineRule="auto"/>
      </w:pP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4.  </w:t>
      </w:r>
      <w:r>
        <w:rPr>
          <w:rFonts w:ascii="Aptos" w:hAnsi="Aptos" w:cs="Aptos" w:eastAsia="Aptos"/>
          <w:b/>
          <w:i w:val="0"/>
          <w:color w:val="35506B"/>
          <w:sz w:val="27"/>
        </w:rPr>
        <w:t>Argumento do critério de aplicação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Os dois regimes acionam-se por factos distintos e logicamente independentes. O Decreto-Lei n.º 276/2001 desencadeia-se pela atividade: basta possuir uma fêmea reprodutora cujas crias se destinem ao comércio. O Decreto-Lei n.º 314/2003 desencadeia-se pelo número de animais adultos no fogo.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3061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Situação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Decreto-Lei n.º 276/2001</w:t>
            </w:r>
          </w:p>
        </w:tc>
        <w:tc>
          <w:tcPr>
            <w:tcW w:type="dxa" w:w="3118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Decreto-Lei n.º 314/2003</w:t>
            </w:r>
          </w:p>
        </w:tc>
      </w:tr>
      <w:tr>
        <w:trPr>
          <w:cantSplit/>
        </w:trPr>
        <w:tc>
          <w:tcPr>
            <w:tcW w:type="dxa" w:w="306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Uma fêmea reprodutora, uma ninhada por ano, em apartamento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Atividade sujeita a mera comunicação prévia</w:t>
            </w:r>
          </w:p>
        </w:tc>
        <w:tc>
          <w:tcPr>
            <w:tcW w:type="dxa" w:w="311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Dentro do limite de detenção</w:t>
            </w:r>
          </w:p>
        </w:tc>
      </w:tr>
      <w:tr>
        <w:trPr>
          <w:cantSplit/>
        </w:trPr>
        <w:tc>
          <w:tcPr>
            <w:tcW w:type="dxa" w:w="306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Quatro cães adultos sem qualquer reprodução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Sem atividade; não sujeito</w:t>
            </w:r>
          </w:p>
        </w:tc>
        <w:tc>
          <w:tcPr>
            <w:tcW w:type="dxa" w:w="311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No limite; carece de parecer para exceder</w:t>
            </w:r>
          </w:p>
        </w:tc>
      </w:tr>
      <w:tr>
        <w:trPr>
          <w:cantSplit/>
        </w:trPr>
        <w:tc>
          <w:tcPr>
            <w:tcW w:type="dxa" w:w="306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Seis cães adultos em prédio rústico, sem reprodução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Sem atividade; não sujeito</w:t>
            </w:r>
          </w:p>
        </w:tc>
        <w:tc>
          <w:tcPr>
            <w:tcW w:type="dxa" w:w="311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Dentro do limite</w:t>
            </w:r>
          </w:p>
        </w:tc>
      </w:tr>
      <w:tr>
        <w:trPr>
          <w:cantSplit/>
        </w:trPr>
        <w:tc>
          <w:tcPr>
            <w:tcW w:type="dxa" w:w="306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Doze cães adultos em estabelecimento de criação licenciado</w:t>
            </w:r>
          </w:p>
        </w:tc>
        <w:tc>
          <w:tcPr>
            <w:tcW w:type="dxa" w:w="323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Capacidade declarada e aferida pelo anexo I</w:t>
            </w:r>
          </w:p>
        </w:tc>
        <w:tc>
          <w:tcPr>
            <w:tcW w:type="dxa" w:w="311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Norma de detenção doméstica não aplicável</w:t>
            </w:r>
          </w:p>
        </w:tc>
      </w:tr>
    </w:tbl>
    <w:p>
      <w:pPr>
        <w:spacing w:before="4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independência dos critérios demonstra que nenhum deles é condição do outro. Se os limites de detenção funcionassem como limiar de capacidade, o segundo e o terceiro casos configurariam atividade regulada, o que manifestamente não sucede.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5.  </w:t>
      </w:r>
      <w:r>
        <w:rPr>
          <w:rFonts w:ascii="Aptos" w:hAnsi="Aptos" w:cs="Aptos" w:eastAsia="Aptos"/>
          <w:b/>
          <w:i w:val="0"/>
          <w:color w:val="35506B"/>
          <w:sz w:val="27"/>
        </w:rPr>
        <w:t>A capacidade dos alojamentos tem regime próprio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Decreto-Lei n.º 276/2001 dispõe de mecanismo autónomo e completo de fixação da capacidade. Esta é declarada pelo interessado no procedimento de acesso e aferida por parâmetros dimensionais constantes do próprio diploma.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h) A capacidade máxima de animais e respetivas espécies a alojar;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Al. h) do n.º 1 do artigo 3.º-A do Decreto-Lei n.º 276/2001</w:t>
            </w:r>
          </w:p>
        </w:tc>
      </w:tr>
    </w:tbl>
    <w:p>
      <w:pPr>
        <w:spacing w:before="0" w:after="180" w:line="293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6 — Os alojamentos referidos neste capítulo devem obedecer aos parâmetros mínimos adequados à espécie, nomeadamente os constantes do anexo i do presente diploma, do qual faz parte integrante.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N.º 6 do artigo 25.º do Decreto-Lei n.º 276/2001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Havendo regime especial completo para a capacidade dos alojamentos, não há lacuna que justifique recorrer a norma de outro diploma, com objeto diverso, para a integrar. A regra da especialidade impõe a prevalência do Decreto-Lei n.º 276/2001 nesta matéria.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6.  </w:t>
      </w:r>
      <w:r>
        <w:rPr>
          <w:rFonts w:ascii="Aptos" w:hAnsi="Aptos" w:cs="Aptos" w:eastAsia="Aptos"/>
          <w:b/>
          <w:i w:val="0"/>
          <w:color w:val="35506B"/>
          <w:sz w:val="27"/>
        </w:rPr>
        <w:t>Argumento da arquitetura sancionatória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Os dois diplomas reagem ao incumprimento por vias que não se comunicam. O Decreto-Lei n.º 314/2003 confere à câmara municipal, após vistoria conjunta do delegado de saúde e do médico veterinário municipal, o poder de notificar o detentor para retirar os animais para o canil ou gatil municipal. É medida de polícia sanitária sobre um agregado doméstico.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5 — Em caso de não cumprimento do disposto nos números anteriores, as câmaras municipais, após vistoria conjunta do delegado de saúde e do médico veterinário municipal, notificam o detentor para retirar os animais para o canil ou gatil municipal no prazo estabelecido por aquelas entidades, caso o detentor não opte por outro destino que reúna as condições estabelecidas pelo presente diploma.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N.º 5 do artigo 3.º do Decreto-Lei n.º 314/2003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Decreto-Lei n.º 276/2001 dispõe de regime sancionatório próprio aplicável ao titular da exploração, com medidas de suspensão e encerramento e responsabilidade contraordenacional. A diferença de destinatário, de autoridade competente e de consequência jurídica confirma que os planos são distintos.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7.  </w:t>
      </w:r>
      <w:r>
        <w:rPr>
          <w:rFonts w:ascii="Aptos" w:hAnsi="Aptos" w:cs="Aptos" w:eastAsia="Aptos"/>
          <w:b/>
          <w:i w:val="0"/>
          <w:color w:val="35506B"/>
          <w:sz w:val="27"/>
        </w:rPr>
        <w:t>A classificação predial é critério tributário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Prédio urbano, prédio rústico e prédio misto são categorias definidas nos artigos 2.º a 6.º do Código do Imposto Municipal sobre Imóveis, para efeitos de incidência e avaliação. Não exprimem aptidão sanitária, dimensão útil nem adequação ao alojamento de animais. Um apartamento de trezentos metros quadrados com logradouro e uma habitação exígua integram a mesma categoria.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Fazer depender a licitude de uma atividade económica, e o respetivo limiar de exercício, da classificação matricial do imóvel conduziria a diferenciação sem fundamento material bastante. A mesma atividade, com o mesmo número de animais e as mesmas condições efetivas, seria lícita ou ilícita consoante a inscrição na matriz predial. Uma interpretação com este resultado não satisfaz as exigências de necessidade e de proporcionalidade que vinculam a restrição de direitos económicos.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Acresce que o Decreto-Lei n.º 314/2003 usa a classificação predial para um fim que lhe é adequado: aproximar, de forma expedita, o risco de conspurcação e de transmissão de zoonoses em contexto de vizinhança. Transpor esse critério para a regulação de uma atividade desvirtua-o.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8.  </w:t>
      </w:r>
      <w:r>
        <w:rPr>
          <w:rFonts w:ascii="Aptos" w:hAnsi="Aptos" w:cs="Aptos" w:eastAsia="Aptos"/>
          <w:b/>
          <w:i w:val="0"/>
          <w:color w:val="35506B"/>
          <w:sz w:val="27"/>
        </w:rPr>
        <w:t>O direito da União afasta a relevância do tipo de prédio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Regulamento (UE) 2026/1818 define o estabelecimento de criação em termos que abrangem expressamente a habitação particular, sem qualquer distinção quanto à natureza do imóvel.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«Estabelecimento de criação», qualquer instalação ou estrutura, incluindo casas particulares, onde são mantidos cães ou gatos para fins de reprodução com vista à colocação da sua descendência no mercado.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Al. o) do artigo 4.º do Regulamento (UE) 2026/1818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O critério europeu é funcional: releva a afetação do espaço à reprodução com vista à colocação no mercado, não a sua qualificação jurídica ou tributária. A partir de 31 de agosto de 2028, uma leitura nacional que fizesse depender o conceito de estabelecimento da classificação predial colidiria com esta definição.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9.  </w:t>
      </w:r>
      <w:r>
        <w:rPr>
          <w:rFonts w:ascii="Aptos" w:hAnsi="Aptos" w:cs="Aptos" w:eastAsia="Aptos"/>
          <w:b/>
          <w:i w:val="0"/>
          <w:color w:val="35506B"/>
          <w:sz w:val="27"/>
        </w:rPr>
        <w:t>Consequências da tese contrária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leitura que converte os limites de detenção em limiar de capacidade produz resultados que o sistema não comporta e que, por isso, a infirmam.</w:t>
      </w:r>
    </w:p>
    <w:p>
      <w:pPr>
        <w:spacing w:before="0" w:after="80" w:line="293" w:lineRule="auto"/>
        <w:ind w:left="351" w:hanging="351"/>
        <w:jc w:val="both"/>
      </w:pPr>
      <w:r>
        <w:rPr>
          <w:rFonts w:ascii="Aptos" w:hAnsi="Aptos" w:cs="Aptos" w:eastAsia="Aptos"/>
          <w:b w:val="0"/>
          <w:i w:val="0"/>
          <w:color w:val="7C8894"/>
          <w:sz w:val="20"/>
        </w:rPr>
        <w:t>—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Nenhum estabelecimento de criação instalado em prédio urbano poderia deter mais de quatro animais adultos, ou seis mediante parecer vinculativo. O limiar europeu de mais de cinco cadelas ou gatas reprodutoras, que aciona a aprovação do artigo 10.º do Regulamento, seria inaplicável em meio urbano.</w:t>
      </w:r>
    </w:p>
    <w:p>
      <w:pPr>
        <w:spacing w:before="0" w:after="80" w:line="293" w:lineRule="auto"/>
        <w:ind w:left="351" w:hanging="351"/>
        <w:jc w:val="both"/>
      </w:pPr>
      <w:r>
        <w:rPr>
          <w:rFonts w:ascii="Aptos" w:hAnsi="Aptos" w:cs="Aptos" w:eastAsia="Aptos"/>
          <w:b w:val="0"/>
          <w:i w:val="0"/>
          <w:color w:val="7C8894"/>
          <w:sz w:val="20"/>
        </w:rPr>
        <w:t>—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A permissão administrativa prevista na al. b) do n.º 1 do artigo 45.º do projeto de regime ficaria esvaziada de conteúdo quanto a uma parte substancial do território.</w:t>
      </w:r>
    </w:p>
    <w:p>
      <w:pPr>
        <w:spacing w:before="0" w:after="80" w:line="293" w:lineRule="auto"/>
        <w:ind w:left="351" w:hanging="351"/>
        <w:jc w:val="both"/>
      </w:pPr>
      <w:r>
        <w:rPr>
          <w:rFonts w:ascii="Aptos" w:hAnsi="Aptos" w:cs="Aptos" w:eastAsia="Aptos"/>
          <w:b w:val="0"/>
          <w:i w:val="0"/>
          <w:color w:val="7C8894"/>
          <w:sz w:val="20"/>
        </w:rPr>
        <w:t>—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A capacidade máxima declarada na mera comunicação prévia e os parâmetros do anexo I do Decreto-Lei n.º 276/2001 tornar-se-iam inúteis, por serem sempre precedidos de um teto fixado alhures.</w:t>
      </w:r>
    </w:p>
    <w:p>
      <w:pPr>
        <w:spacing w:before="0" w:after="80" w:line="293" w:lineRule="auto"/>
        <w:ind w:left="351" w:hanging="351"/>
        <w:jc w:val="both"/>
      </w:pPr>
      <w:r>
        <w:rPr>
          <w:rFonts w:ascii="Aptos" w:hAnsi="Aptos" w:cs="Aptos" w:eastAsia="Aptos"/>
          <w:b w:val="0"/>
          <w:i w:val="0"/>
          <w:color w:val="7C8894"/>
          <w:sz w:val="20"/>
        </w:rPr>
        <w:t>—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Um alojamento licenciado com capacidade para doze cães, aprovado pela autoridade competente ao abrigo do Decreto-Lei n.º 276/2001, estaria simultaneamente em infração ao Decreto-Lei n.º 314/2003. A antinomia seria permanente e insanável.</w:t>
      </w: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Presumindo o intérprete que o legislador consagrou as soluções mais acertadas e soube exprimir o seu pensamento em termos adequados, nos termos do artigo 9.º do Código Civil, deve ser afastada a interpretação que gera antinomia permanente entre dois diplomas que o próprio legislador articulou no mesmo dia.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10.  </w:t>
      </w:r>
      <w:r>
        <w:rPr>
          <w:rFonts w:ascii="Aptos" w:hAnsi="Aptos" w:cs="Aptos" w:eastAsia="Aptos"/>
          <w:b/>
          <w:i w:val="0"/>
          <w:color w:val="35506B"/>
          <w:sz w:val="27"/>
        </w:rPr>
        <w:t>O que o Decreto-Lei n.º 314/2003 efetivamente impõe a quem comercializa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A única disposição do diploma que intersecta estabelecimentos é o artigo 5.º, e refere-se a estabelecimentos destinados ao comércio. Não menciona criação nem reprodução, e o seu conteúdo esgota-se em documentação sanitária.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A9C2D8"/>
              <w:bottom w:val="nil"/>
              <w:right w:val="nil"/>
            </w:tcBorders>
            <w:shd w:val="clear" w:color="auto" w:fill="F3F6F9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8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1 — Os cães e gatos que se encontrem em estabelecimentos destinados ao seu comércio devem estar acompanhados do respectivo boletim sanitário de cães e gatos, onde deve estar aposta a etiqueta autocolante comprovativa da identificação electrónica, quando aplicável, e ter asseguradas as acções de profilaxia médica e sanitária obrigatórias ou consideradas adequadas à saúde e idade dos animais pelo médico veterinário.</w:t>
            </w:r>
          </w:p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/>
                <w:color w:val="2B2B2B"/>
                <w:sz w:val="19"/>
              </w:rPr>
              <w:t>2 — Os cães com idade superior a 3 meses de idade devem possuir certificado das acções de profilaxia consideradas obrigatórias para a espécie.</w:t>
            </w:r>
          </w:p>
          <w:p>
            <w:pPr>
              <w:spacing w:before="120" w:after="0" w:line="293" w:lineRule="auto"/>
            </w:pPr>
            <w:r>
              <w:rPr>
                <w:rFonts w:ascii="Aptos" w:hAnsi="Aptos" w:cs="Aptos" w:eastAsia="Aptos"/>
                <w:b w:val="0"/>
                <w:i w:val="0"/>
                <w:color w:val="7C8894"/>
                <w:sz w:val="15"/>
              </w:rPr>
              <w:t>Artigo 5.º do Decreto-Lei n.º 314/2003</w:t>
            </w:r>
          </w:p>
        </w:tc>
      </w:tr>
    </w:tbl>
    <w:p>
      <w:pPr>
        <w:spacing w:before="0" w:after="180" w:line="293" w:lineRule="auto"/>
      </w:pPr>
    </w:p>
    <w:p>
      <w:pPr>
        <w:spacing w:before="0" w:after="140" w:line="293" w:lineRule="auto"/>
        <w:jc w:val="both"/>
      </w:pPr>
      <w:r>
        <w:rPr>
          <w:rFonts w:ascii="Aptos" w:hAnsi="Aptos" w:cs="Aptos" w:eastAsia="Aptos"/>
          <w:b w:val="0"/>
          <w:i w:val="0"/>
          <w:color w:val="2B2B2B"/>
          <w:sz w:val="20"/>
        </w:rPr>
        <w:t>Estas obrigações são cumulativas com as do Decreto-Lei n.º 276/2001 e serão absorvidas pelo regime de rastreabilidade do Capítulo III do Regulamento. Não têm qualquer incidência sobre a capacidade do estabelecimento nem sobre o título de acesso.</w:t>
      </w: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11.  </w:t>
      </w:r>
      <w:r>
        <w:rPr>
          <w:rFonts w:ascii="Aptos" w:hAnsi="Aptos" w:cs="Aptos" w:eastAsia="Aptos"/>
          <w:b/>
          <w:i w:val="0"/>
          <w:color w:val="35506B"/>
          <w:sz w:val="27"/>
        </w:rPr>
        <w:t>Síntese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cantSplit/>
          <w:tblHeader/>
        </w:trPr>
        <w:tc>
          <w:tcPr>
            <w:tcW w:type="dxa" w:w="1871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</w:r>
          </w:p>
        </w:tc>
        <w:tc>
          <w:tcPr>
            <w:tcW w:type="dxa" w:w="3742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Decreto-Lei n.º 314/2003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8" w:space="0" w:color="A9C2D8"/>
              <w:right w:val="nil"/>
            </w:tcBorders>
            <w:shd w:val="clear" w:color="auto" w:fill="E9EFF4"/>
            <w:tcMar>
              <w:top w:w="90" w:type="dxa"/>
              <w:bottom w:w="90" w:type="dxa"/>
              <w:left w:w="120" w:type="dxa"/>
              <w:right w:w="120" w:type="dxa"/>
            </w:tcMar>
          </w:tcPr>
          <w:p>
            <w:pPr>
              <w:spacing w:before="0" w:after="0" w:line="293" w:lineRule="auto"/>
            </w:pPr>
            <w:r>
              <w:rPr>
                <w:rFonts w:ascii="Aptos" w:hAnsi="Aptos" w:cs="Aptos" w:eastAsia="Aptos"/>
                <w:b/>
                <w:i w:val="0"/>
                <w:color w:val="35506B"/>
                <w:sz w:val="17"/>
              </w:rPr>
              <w:t>Decreto-Lei n.º 276/2001</w:t>
            </w:r>
          </w:p>
        </w:tc>
      </w:tr>
      <w:tr>
        <w:trPr>
          <w:cantSplit/>
        </w:trPr>
        <w:tc>
          <w:tcPr>
            <w:tcW w:type="dxa" w:w="187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Objeto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Luta e vigilância epidemiológica da raiva e outras zoonoses; posse e detenção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Exercício da atividade de exploração de alojamentos e de venda</w:t>
            </w:r>
          </w:p>
        </w:tc>
      </w:tr>
      <w:tr>
        <w:trPr>
          <w:cantSplit/>
        </w:trPr>
        <w:tc>
          <w:tcPr>
            <w:tcW w:type="dxa" w:w="187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Destinatário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Detentor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Titular da exploração</w:t>
            </w:r>
          </w:p>
        </w:tc>
      </w:tr>
      <w:tr>
        <w:trPr>
          <w:cantSplit/>
        </w:trPr>
        <w:tc>
          <w:tcPr>
            <w:tcW w:type="dxa" w:w="187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Unidade de referência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Fogo; prédio urbano, rústico ou misto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Alojamento</w:t>
            </w:r>
          </w:p>
        </w:tc>
      </w:tr>
      <w:tr>
        <w:trPr>
          <w:cantSplit/>
        </w:trPr>
        <w:tc>
          <w:tcPr>
            <w:tcW w:type="dxa" w:w="187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Facto gerador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Número de animais adultos no fogo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Exercício da atividade; uma fêmea reprodutora basta</w:t>
            </w:r>
          </w:p>
        </w:tc>
      </w:tr>
      <w:tr>
        <w:trPr>
          <w:cantSplit/>
        </w:trPr>
        <w:tc>
          <w:tcPr>
            <w:tcW w:type="dxa" w:w="187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Bem jurídico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Saúde pública e salubridade de vizinhança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Saúde e bem-estar animal na atividade económica</w:t>
            </w:r>
          </w:p>
        </w:tc>
      </w:tr>
      <w:tr>
        <w:trPr>
          <w:cantSplit/>
        </w:trPr>
        <w:tc>
          <w:tcPr>
            <w:tcW w:type="dxa" w:w="187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Reação ao incumprimento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Notificação municipal para remoção dos animais, após vistoria conjunta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FFFFF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Suspensão, encerramento e contraordenação</w:t>
            </w:r>
          </w:p>
        </w:tc>
      </w:tr>
      <w:tr>
        <w:trPr>
          <w:cantSplit/>
        </w:trPr>
        <w:tc>
          <w:tcPr>
            <w:tcW w:type="dxa" w:w="1871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Fixação da capacidade</w:t>
            </w:r>
          </w:p>
        </w:tc>
        <w:tc>
          <w:tcPr>
            <w:tcW w:type="dxa" w:w="3742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Não regula</w:t>
            </w:r>
          </w:p>
        </w:tc>
        <w:tc>
          <w:tcPr>
            <w:tcW w:type="dxa" w:w="3798"/>
            <w:tcBorders>
              <w:top w:val="nil"/>
              <w:left w:val="nil"/>
              <w:bottom w:val="single" w:sz="4" w:space="0" w:color="D7DEE5"/>
              <w:right w:val="nil"/>
            </w:tcBorders>
            <w:shd w:val="clear" w:color="auto" w:fill="F8FAFC"/>
            <w:tcMar>
              <w:top w:w="85" w:type="dxa"/>
              <w:bottom w:w="85" w:type="dxa"/>
              <w:left w:w="120" w:type="dxa"/>
              <w:right w:w="120" w:type="dxa"/>
            </w:tcMar>
          </w:tcPr>
          <w:p>
            <w:pPr>
              <w:spacing w:before="0" w:after="0" w:line="274" w:lineRule="auto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17"/>
              </w:rPr>
              <w:t>Declarada na mera comunicação prévia e aferida pelo anexo I</w:t>
            </w:r>
          </w:p>
        </w:tc>
      </w:tr>
    </w:tbl>
    <w:p>
      <w:pPr>
        <w:spacing w:before="40" w:after="180" w:line="293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tcBorders>
              <w:top w:val="nil"/>
              <w:left w:val="single" w:sz="18" w:space="0" w:color="D8C9AE"/>
              <w:bottom w:val="nil"/>
              <w:right w:val="nil"/>
            </w:tcBorders>
            <w:shd w:val="clear" w:color="auto" w:fill="F7F4ED"/>
            <w:tcMar>
              <w:top w:w="130" w:type="dxa"/>
              <w:bottom w:w="130" w:type="dxa"/>
              <w:left w:w="200" w:type="dxa"/>
              <w:right w:w="180" w:type="dxa"/>
            </w:tcMar>
          </w:tcPr>
          <w:p>
            <w:pPr>
              <w:spacing w:before="0" w:after="0" w:line="293" w:lineRule="auto"/>
              <w:jc w:val="both"/>
            </w:pP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 xml:space="preserve">Os dois diplomas são cumulativamente aplicáveis a quem cria cães ou gatos na sua habitação: enquanto detentor, observa os limites e as condições higiossanitárias do Decreto-Lei n.º 314/2003; enquanto operador, cumpre o Decreto-Lei n.º 276/2001 e, a partir de 2028, o Regulamento. </w:t>
            </w:r>
            <w:r>
              <w:rPr>
                <w:rFonts w:ascii="Aptos" w:hAnsi="Aptos" w:cs="Aptos" w:eastAsia="Aptos"/>
                <w:b/>
                <w:i w:val="0"/>
                <w:color w:val="2B2B2B"/>
                <w:sz w:val="20"/>
              </w:rPr>
              <w:t>Cumulação não é sobreposição.</w:t>
            </w:r>
            <w:r>
              <w:rPr>
                <w:rFonts w:ascii="Aptos" w:hAnsi="Aptos" w:cs="Aptos" w:eastAsia="Aptos"/>
                <w:b w:val="0"/>
                <w:i w:val="0"/>
                <w:color w:val="2B2B2B"/>
                <w:sz w:val="20"/>
              </w:rPr>
              <w:t xml:space="preserve"> Nenhum dos regimes fixa o limiar do outro.</w:t>
            </w:r>
          </w:p>
        </w:tc>
      </w:tr>
    </w:tbl>
    <w:p>
      <w:pPr>
        <w:spacing w:before="0" w:after="180" w:line="293" w:lineRule="auto"/>
      </w:pPr>
    </w:p>
    <w:p>
      <w:pPr>
        <w:keepNext/>
        <w:spacing w:before="360" w:after="40" w:line="293" w:lineRule="auto"/>
      </w:pPr>
      <w:r>
        <w:rPr>
          <w:rFonts w:ascii="Aptos" w:hAnsi="Aptos" w:cs="Aptos" w:eastAsia="Aptos"/>
          <w:b/>
          <w:i w:val="0"/>
          <w:color w:val="5C7891"/>
          <w:sz w:val="27"/>
        </w:rPr>
        <w:t xml:space="preserve">12.  </w:t>
      </w:r>
      <w:r>
        <w:rPr>
          <w:rFonts w:ascii="Aptos" w:hAnsi="Aptos" w:cs="Aptos" w:eastAsia="Aptos"/>
          <w:b/>
          <w:i w:val="0"/>
          <w:color w:val="35506B"/>
          <w:sz w:val="27"/>
        </w:rPr>
        <w:t>Recomendação</w:t>
      </w:r>
    </w:p>
    <w:p>
      <w:pPr>
        <w:keepNext/>
        <w:pBdr>
          <w:bottom w:val="single" w:sz="4" w:space="1" w:color="D7DEE5"/>
        </w:pBdr>
        <w:spacing w:before="0" w:after="160" w:line="40" w:lineRule="exact"/>
      </w:pP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1.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Explicitar no futuro regime que os limites de detenção previstos na legislação sanitária não constituem limiar de capacidade dos estabelecimentos, cuja lotação é declarada no título de acesso e aferida pelos parâmetros técnicos aplicáveis.</w:t>
      </w: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2.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Corrigir a remissão da al. p) do artigo 2.º do Decreto-Lei n.º 276/2001, hoje desatualizada por efeito da renumeração do artigo 3.º do Decreto-Lei n.º 314/2003.</w:t>
      </w:r>
    </w:p>
    <w:p>
      <w:pPr>
        <w:spacing w:before="0" w:after="100" w:line="293" w:lineRule="auto"/>
        <w:ind w:left="408" w:hanging="408"/>
        <w:jc w:val="both"/>
      </w:pPr>
      <w:r>
        <w:rPr>
          <w:rFonts w:ascii="Aptos" w:hAnsi="Aptos" w:cs="Aptos" w:eastAsia="Aptos"/>
          <w:b/>
          <w:i w:val="0"/>
          <w:color w:val="5C7891"/>
          <w:sz w:val="20"/>
        </w:rPr>
        <w:t>3.</w:t>
        <w:tab/>
      </w:r>
      <w:r>
        <w:rPr>
          <w:rFonts w:ascii="Aptos" w:hAnsi="Aptos" w:cs="Aptos" w:eastAsia="Aptos"/>
          <w:b w:val="0"/>
          <w:i w:val="0"/>
          <w:color w:val="2B2B2B"/>
          <w:sz w:val="20"/>
        </w:rPr>
        <w:t>Assegurar que a definição nacional de estabelecimento de criação acompanha o Regulamento quanto à inclusão das casas particulares, afastando qualquer relevância da classificação predial.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304" w:right="1247" w:bottom="1191" w:left="1247" w:header="624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93" w:lineRule="auto"/>
      <w:jc w:val="right"/>
    </w:pPr>
    <w:r>
      <w:rPr>
        <w:rFonts w:ascii="Aptos" w:hAnsi="Aptos" w:cs="Aptos" w:eastAsia="Aptos"/>
        <w:b w:val="0"/>
        <w:i w:val="0"/>
        <w:color w:val="7C8894"/>
        <w:sz w:val="16"/>
      </w:rPr>
    </w:r>
    <w:fldSimple w:instr="PAGE">
      <w:r>
        <w:rPr>
          <w:sz w:val="16"/>
          <w:color w:val="7C8894"/>
        </w:rPr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93" w:lineRule="auto"/>
      <w:jc w:val="right"/>
    </w:pPr>
    <w:r>
      <w:rPr>
        <w:rFonts w:ascii="Aptos" w:hAnsi="Aptos" w:cs="Aptos" w:eastAsia="Aptos"/>
        <w:b w:val="0"/>
        <w:i w:val="0"/>
        <w:color w:val="7C8894"/>
        <w:sz w:val="15"/>
      </w:rPr>
      <w:t>Delimitação DL 314/2003 · DL 276/2001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Aptos" w:hAnsi="Aptos" w:cs="Aptos" w:eastAsia="Aptos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