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MEMORANDO TÉCNICO</w:t>
      </w:r>
    </w:p>
    <w:p>
      <w:pPr>
        <w:spacing w:before="0" w:after="40" w:line="293" w:lineRule="auto"/>
      </w:pPr>
      <w:r>
        <w:rPr>
          <w:rFonts w:ascii="Aptos" w:hAnsi="Aptos" w:cs="Aptos" w:eastAsia="Aptos"/>
          <w:b/>
          <w:i w:val="0"/>
          <w:color w:val="35506B"/>
          <w:sz w:val="42"/>
        </w:rPr>
        <w:t>Criação de cães e gatos em pequena escala</w:t>
      </w:r>
    </w:p>
    <w:p>
      <w:pPr>
        <w:spacing w:before="0" w:after="200" w:line="293" w:lineRule="auto"/>
      </w:pPr>
      <w:r>
        <w:rPr>
          <w:rFonts w:ascii="Aptos" w:hAnsi="Aptos" w:cs="Aptos" w:eastAsia="Aptos"/>
          <w:b w:val="0"/>
          <w:i w:val="0"/>
          <w:color w:val="5C7891"/>
          <w:sz w:val="22"/>
        </w:rPr>
        <w:t>Regime nacional vigente, Regulamento (UE) 2026/1818 e projeto de Regime Geral do Animal de Companhia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Divisão de Bem-Estar dos Animais para Fins Experimentais, Companhia e Zoológicos   ·   setembro de 2026</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8"/>
              </w:rPr>
              <w:t>O projeto de Regime Geral do Animal de Companhia referido neste memorando é uma versão de trabalho, em harmonização interna. As soluções nele constantes não correspondem a direito vigente nem vinculam a posição final da Direção-Geral. As citações do Regulamento (UE) 2026/1818 reproduzem a versão portuguesa publicada no Jornal Oficial de 10 de agosto de 2026, que é texto autêntico.</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Objeto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Este memorando fixa o enquadramento jurídico da criação de cães e gatos em pequena escala e reúne os elementos necessários para responder às questões suscitadas publicamente sobre a matéria. Articula, para o efeito, o Decreto-Lei n.º 276/2001, de 17 de outubro, que rege o acesso e o exercício da atividade; o Decreto-Lei n.º 314/2003, de 17 de dezembro, cuja delimitação se trata no ponto 4.3; o Regulamento (UE) 2026/1818, do Parlamento Europeu e do Conselho, de 17 de junho de 2026; e o projeto de Regime Geral do Animal de Companhia.</w:t>
      </w:r>
    </w:p>
    <w:p>
      <w:pPr>
        <w:spacing w:before="0" w:after="140" w:line="293" w:lineRule="auto"/>
        <w:jc w:val="both"/>
      </w:pPr>
      <w:r>
        <w:rPr>
          <w:rFonts w:ascii="Aptos" w:hAnsi="Aptos" w:cs="Aptos" w:eastAsia="Aptos"/>
          <w:b w:val="0"/>
          <w:i w:val="0"/>
          <w:color w:val="2B2B2B"/>
          <w:sz w:val="20"/>
        </w:rPr>
        <w:t>A ordem de exposição é deliberada. Começa-se pelo que já vincula, passa-se ao que passará a vincular e só depois se trata do que está em elaboração. A distinção entre estes três planos é a principal fonte de equívoco no debate público sobre esta matéria.</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Não existe, no direito vigente, no Regulamento ou no projeto de regime, qualquer figura de criador dispensado de registo junto da autoridade competente. O Regulamento admite um regime reduzido de obrigações de bem-estar para quem produza até duas ninhadas por ano civil; </w:t>
            </w:r>
            <w:r>
              <w:rPr>
                <w:rFonts w:ascii="Aptos" w:hAnsi="Aptos" w:cs="Aptos" w:eastAsia="Aptos"/>
                <w:b/>
                <w:i w:val="0"/>
                <w:color w:val="2B2B2B"/>
                <w:sz w:val="20"/>
              </w:rPr>
              <w:t>o projeto de regime não acolhe essa redução</w:t>
            </w:r>
            <w:r>
              <w:rPr>
                <w:rFonts w:ascii="Aptos" w:hAnsi="Aptos" w:cs="Aptos" w:eastAsia="Aptos"/>
                <w:b w:val="0"/>
                <w:i w:val="0"/>
                <w:color w:val="2B2B2B"/>
                <w:sz w:val="20"/>
              </w:rPr>
              <w:t>, aplicando a todos os estabelecimentos de criação o conjunto integral das obrigações.</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acesso à atividade depende hoje de mera comunicação prévia ou de permissão administrativa. Uma e outra dão lugar a número de identificação pessoal e intransmissível, e os criadores são publicitados no sítio da Direção-Geral. Nenhum criador registado é anónimo perante a autoridade competente nem perante o público.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O Regulamento dispensa os estabelecimentos de criação até duas ninhadas por ano civil de um conjunto delimitado de obrigações do seu Capítulo II, que inclui o espaço disponível mínimo, a temperatura das áreas de parto, a iluminação, a inspeção diária dos animais e as especificações de socialização e enriquecimento. Não os dispensa da notificação e do registo do estabelecimento, que o artigo 9.º mantém sem exceção.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A identificação e o registo individual dos animais e os requisitos da publicidade em linha constam do Capítulo III do Regulamento. O artigo 5.º dispõe exclusivamente sobre o Capítulo II e não lhes é aplicável. A rastreabilidade não comporta redução em função da escala.</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opção do projeto de regime de não acolher a redução do artigo 5.º constitui regra nacional mais restritiva na aceção do artigo 30.º do Regulamento e deve ser comunicada à Comissão Europeia até 31 de agosto de 2028.</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A ponderação técnica realizada em sede interna incidiu sobre a exigência de instalações individualizadas constante do artigo 25.º do Decreto-Lei n.º 276/2001, e não sobre o registo, a identificação, a rastreabilidade ou o controlo reprodutivo. Mesmo na sua formulação mais permissiva, situa-se acima do que o direito da União admite dispensar.</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Os limites de alojamento do Decreto-Lei n.º 314/2003 respeitam à detenção doméstica de animais e não fixam a capacidade dos estabelecimentos de criação, que é matéria própria do Decreto-Lei n.º 276/2001 (ponto 4.3 e anexo autónomo).</w:t>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Delimitação do que está em causa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discussão pública associou à revisão legislativa em curso um conjunto de propósitos que não correspondem ao seu conteúdo. Importa separá-los do que efetivamente foi ponderado.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317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 suscitada</w:t>
            </w:r>
          </w:p>
        </w:tc>
        <w:tc>
          <w:tcPr>
            <w:tcW w:type="dxa" w:w="623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Criação de uma figura de criador dispensado de registo</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existe no direito vigente, no Regulamento nem no projeto de regime. Nenhum dos três prevê exercício da atividade sem título de acesso.</w:t>
            </w:r>
          </w:p>
        </w:tc>
      </w:tr>
      <w:tr>
        <w:trPr>
          <w:cantSplit/>
        </w:trPr>
        <w:tc>
          <w:tcPr>
            <w:tcW w:type="dxa" w:w="317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Criação de um terceiro título de acesso, a par da mera comunicação prévia e da permissão administrativa</w:t>
            </w:r>
          </w:p>
        </w:tc>
        <w:tc>
          <w:tcPr>
            <w:tcW w:type="dxa" w:w="623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está prevista. O projeto mantém os dois títulos existentes e distribui-os por escala, no sentido da maior exigência.</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Redução das obrigações de identificação e de rastreabilidade</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Constam do Capítulo III do Regulamento, cujo âmbito o artigo 5.º não alcança, e aplicam-se a todos os cães e gatos, incluindo os detidos por particulares.</w:t>
            </w:r>
          </w:p>
        </w:tc>
      </w:tr>
      <w:tr>
        <w:trPr>
          <w:cantSplit/>
        </w:trPr>
        <w:tc>
          <w:tcPr>
            <w:tcW w:type="dxa" w:w="317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Adequação dos requisitos de instalações à dimensão do estabelecimento</w:t>
            </w:r>
          </w:p>
        </w:tc>
        <w:tc>
          <w:tcPr>
            <w:tcW w:type="dxa" w:w="623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Matéria efetivamente ponderada em sede técnica, incidente sobre os n.os 1 e 2 do artigo 25.º do Decreto-Lei n.º 276/2001. Não consta da versão do projeto remetida à tutela.</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Incompatibilidade com o direito da União</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Regulamento admite expressamente a modulação por escala (artigo 5.º) e a manutenção de regras nacionais mais restritivas (artigo 30.º). A opção do projeto situa-se acima da linha de base europeia, não abaixo.</w:t>
            </w:r>
          </w:p>
        </w:tc>
      </w:tr>
    </w:tbl>
    <w:p>
      <w:pPr>
        <w:spacing w:before="40" w:after="180" w:line="293" w:lineRule="auto"/>
      </w:pP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Regime nacional vigente</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Acesso e exercício da atividade</w:t>
      </w:r>
    </w:p>
    <w:p>
      <w:pPr>
        <w:spacing w:before="0" w:after="140" w:line="293" w:lineRule="auto"/>
        <w:jc w:val="both"/>
      </w:pPr>
      <w:r>
        <w:rPr>
          <w:rFonts w:ascii="Aptos" w:hAnsi="Aptos" w:cs="Aptos" w:eastAsia="Aptos"/>
          <w:b w:val="0"/>
          <w:i w:val="0"/>
          <w:color w:val="2B2B2B"/>
          <w:sz w:val="20"/>
        </w:rPr>
        <w:t>O Decreto-Lei n.º 276/2001 regula, nos termos do seu artigo 1.º, o exercício da atividade de exploração de alojamentos, independentemente do seu fim, e de venda de animais de companhia. O critério de sujeição é a atividade, não a dimensão: basta uma fêmea reprodutora cujas crias se destinem ao comércio.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«Criação comercial de animais de companhia», a atividade que consiste em possuir uma ou mais fêmeas reprodutoras cujas crias sejam destinadas ao comércio.</w:t>
            </w:r>
          </w:p>
          <w:p>
            <w:pPr>
              <w:spacing w:before="120" w:after="0" w:line="293" w:lineRule="auto"/>
            </w:pPr>
            <w:r>
              <w:rPr>
                <w:rFonts w:ascii="Aptos" w:hAnsi="Aptos" w:cs="Aptos" w:eastAsia="Aptos"/>
                <w:b w:val="0"/>
                <w:i w:val="0"/>
                <w:color w:val="7C8894"/>
                <w:sz w:val="15"/>
              </w:rPr>
              <w:t>C1   ·   Decreto-Lei n.º 276/2001, artigo 2.º</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before="0" w:after="80" w:line="293" w:lineRule="auto"/>
              <w:jc w:val="both"/>
            </w:pPr>
            <w:r>
              <w:rPr>
                <w:rFonts w:ascii="Aptos" w:hAnsi="Aptos" w:cs="Aptos" w:eastAsia="Aptos"/>
                <w:b w:val="0"/>
                <w:i/>
                <w:color w:val="2B2B2B"/>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before="0" w:after="0" w:line="293" w:lineRule="auto"/>
              <w:jc w:val="both"/>
            </w:pPr>
            <w:r>
              <w:rPr>
                <w:rFonts w:ascii="Aptos" w:hAnsi="Aptos" w:cs="Aptos" w:eastAsia="Aptos"/>
                <w:b w:val="0"/>
                <w:i/>
                <w:color w:val="2B2B2B"/>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before="120" w:after="0" w:line="293" w:lineRule="auto"/>
            </w:pPr>
            <w:r>
              <w:rPr>
                <w:rFonts w:ascii="Aptos" w:hAnsi="Aptos" w:cs="Aptos" w:eastAsia="Aptos"/>
                <w:b w:val="0"/>
                <w:i w:val="0"/>
                <w:color w:val="7C8894"/>
                <w:sz w:val="15"/>
              </w:rPr>
              <w:t>C2   ·   Decreto-Lei n.º 276/2001, artigo 3.º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Dois efeitos deste regime são frequentemente ignorados no debate, e são decisivos: o título de acesso gera número identificador e a identidade do criador é pública.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11 — A comunicação prévia ou a permissão administrativa dão lugar a um número de identificação, o qual é pessoal e intransmissível.</w:t>
            </w:r>
          </w:p>
          <w:p>
            <w:pPr>
              <w:spacing w:before="0" w:after="0" w:line="293" w:lineRule="auto"/>
              <w:jc w:val="both"/>
            </w:pPr>
            <w:r>
              <w:rPr>
                <w:rFonts w:ascii="Aptos" w:hAnsi="Aptos" w:cs="Aptos" w:eastAsia="Aptos"/>
                <w:b w:val="0"/>
                <w:i/>
                <w:color w:val="2B2B2B"/>
                <w:sz w:val="19"/>
              </w:rPr>
              <w:t>12 — A DGAV publicita, no seu sítio de Internet, os nomes dos criadores comerciais de animais de companhia e respetivo município de atividade e número de identificação.</w:t>
            </w:r>
          </w:p>
          <w:p>
            <w:pPr>
              <w:spacing w:before="120" w:after="0" w:line="293" w:lineRule="auto"/>
            </w:pPr>
            <w:r>
              <w:rPr>
                <w:rFonts w:ascii="Aptos" w:hAnsi="Aptos" w:cs="Aptos" w:eastAsia="Aptos"/>
                <w:b w:val="0"/>
                <w:i w:val="0"/>
                <w:color w:val="7C8894"/>
                <w:sz w:val="15"/>
              </w:rPr>
              <w:t>C3   ·   Decreto-Lei n.º 276/2001, artigo 3.º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mera comunicação prévia é dirigida à Direção-Geral e integra, entre outros elementos, a localização do alojamento, a caracterização das atividades, a indicação do médico veterinário responsável, a capacidade máxima de animais e respetivas espécies a alojar, o número de animais detidos, espécies e raças, e declaração de responsabilidade quanto ao cumprimento da legislação aplicável em matéria de instalações, equipamentos, higiene, saúde e bem-estar dos animais.</w:t>
      </w:r>
    </w:p>
    <w:p>
      <w:pPr>
        <w:spacing w:before="0" w:after="140" w:line="293" w:lineRule="auto"/>
        <w:jc w:val="both"/>
      </w:pPr>
      <w:r>
        <w:rPr>
          <w:rFonts w:ascii="Aptos" w:hAnsi="Aptos" w:cs="Aptos" w:eastAsia="Aptos"/>
          <w:b w:val="0"/>
          <w:i w:val="0"/>
          <w:color w:val="2B2B2B"/>
          <w:sz w:val="20"/>
        </w:rPr>
        <w:t>Assinala-se uma limitação do regime vigente que a revisão deve corrigir. As obrigações dos artigos 4.º e 5.º dirigem-se aos titulares de alojamentos para hospedagem, e a hospedagem com fins lucrativos é definida por referência a interesses comerciais ou lucrativos. Quem cria sem intuito declarado de lucro fica, por essa via, fora do âmbito. É esta a lacuna que a proposta de abandonar o critério do fim lucrativo se destina a fechar.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120" w:after="0" w:line="293" w:lineRule="auto"/>
            </w:pPr>
            <w:r>
              <w:rPr>
                <w:rFonts w:ascii="Aptos" w:hAnsi="Aptos" w:cs="Aptos" w:eastAsia="Aptos"/>
                <w:b w:val="0"/>
                <w:i w:val="0"/>
                <w:color w:val="7C8894"/>
                <w:sz w:val="15"/>
              </w:rPr>
              <w:t>C4   ·   Decreto-Lei n.º 276/2001, artigo 2.º</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Responsabilidade médico-veterinária, registos e instalações</w:t>
      </w:r>
    </w:p>
    <w:p>
      <w:pPr>
        <w:spacing w:before="0" w:after="140" w:line="293" w:lineRule="auto"/>
        <w:jc w:val="both"/>
      </w:pPr>
      <w:r>
        <w:rPr>
          <w:rFonts w:ascii="Aptos" w:hAnsi="Aptos" w:cs="Aptos" w:eastAsia="Aptos"/>
          <w:b w:val="0"/>
          <w:i w:val="0"/>
          <w:color w:val="2B2B2B"/>
          <w:sz w:val="20"/>
        </w:rPr>
        <w:t>O alojamento deve dispor de médico veterinário responsável, cujas competências a lei fixa de forma taxativa.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2 — Ao médico veterinário responsável pelo alojamento compete:</w:t>
            </w:r>
          </w:p>
          <w:p>
            <w:pPr>
              <w:spacing w:before="0" w:after="80" w:line="293" w:lineRule="auto"/>
              <w:jc w:val="both"/>
            </w:pPr>
            <w:r>
              <w:rPr>
                <w:rFonts w:ascii="Aptos" w:hAnsi="Aptos" w:cs="Aptos" w:eastAsia="Aptos"/>
                <w:b w:val="0"/>
                <w:i/>
                <w:color w:val="2B2B2B"/>
                <w:sz w:val="19"/>
              </w:rPr>
              <w:t>a) A elaboração e a execução de programas e ações que visem a saúde e o bem-estar dos animais e o seu acompanhamento, bem como a emissão de pareceres relativos à saúde e ao bem-estar dos animais;</w:t>
            </w:r>
          </w:p>
          <w:p>
            <w:pPr>
              <w:spacing w:before="0" w:after="80" w:line="293" w:lineRule="auto"/>
              <w:jc w:val="both"/>
            </w:pPr>
            <w:r>
              <w:rPr>
                <w:rFonts w:ascii="Aptos" w:hAnsi="Aptos" w:cs="Aptos" w:eastAsia="Aptos"/>
                <w:b w:val="0"/>
                <w:i/>
                <w:color w:val="2B2B2B"/>
                <w:sz w:val="19"/>
              </w:rPr>
              <w:t>b) A orientação técnica do pessoal que cuida dos animais;</w:t>
            </w:r>
          </w:p>
          <w:p>
            <w:pPr>
              <w:spacing w:before="0" w:after="0" w:line="293" w:lineRule="auto"/>
              <w:jc w:val="both"/>
            </w:pPr>
            <w:r>
              <w:rPr>
                <w:rFonts w:ascii="Aptos" w:hAnsi="Aptos" w:cs="Aptos" w:eastAsia="Aptos"/>
                <w:b w:val="0"/>
                <w:i/>
                <w:color w:val="2B2B2B"/>
                <w:sz w:val="19"/>
              </w:rPr>
              <w:t>c) A colaboração com as autoridades competentes em todas as ações que estas determinarem.</w:t>
            </w:r>
          </w:p>
          <w:p>
            <w:pPr>
              <w:spacing w:before="120" w:after="0" w:line="293" w:lineRule="auto"/>
            </w:pPr>
            <w:r>
              <w:rPr>
                <w:rFonts w:ascii="Aptos" w:hAnsi="Aptos" w:cs="Aptos" w:eastAsia="Aptos"/>
                <w:b w:val="0"/>
                <w:i w:val="0"/>
                <w:color w:val="7C8894"/>
                <w:sz w:val="15"/>
              </w:rPr>
              <w:t>C5   ·   Decreto-Lei n.º 276/2001, artigo 4.º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Os registos a conservar durante um ano são igualmente definidos por enumeração.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titulares da exploração dos alojamentos para hospedagem de animais de companhia, com ou sem fins lucrativos, com fins médico-veterinários e os centros de recolha devem manter, pelo prazo de um ano, os seguintes registos:</w:t>
            </w:r>
          </w:p>
          <w:p>
            <w:pPr>
              <w:spacing w:before="0" w:after="80" w:line="293" w:lineRule="auto"/>
              <w:jc w:val="both"/>
            </w:pPr>
            <w:r>
              <w:rPr>
                <w:rFonts w:ascii="Aptos" w:hAnsi="Aptos" w:cs="Aptos" w:eastAsia="Aptos"/>
                <w:b w:val="0"/>
                <w:i/>
                <w:color w:val="2B2B2B"/>
                <w:sz w:val="19"/>
              </w:rPr>
              <w:t>a) A identificação do detentor do animal, designadamente nome e morada;</w:t>
            </w:r>
          </w:p>
          <w:p>
            <w:pPr>
              <w:spacing w:before="0" w:after="80" w:line="293" w:lineRule="auto"/>
              <w:jc w:val="both"/>
            </w:pPr>
            <w:r>
              <w:rPr>
                <w:rFonts w:ascii="Aptos" w:hAnsi="Aptos" w:cs="Aptos" w:eastAsia="Aptos"/>
                <w:b w:val="0"/>
                <w:i/>
                <w:color w:val="2B2B2B"/>
                <w:sz w:val="19"/>
              </w:rPr>
              <w:t>b) A identificação dos animais, nomeadamente o número de identificação, se aplicável, nome, espécie, raça, idade e quaisquer sinais particulares, sempre que aplicável;</w:t>
            </w:r>
          </w:p>
          <w:p>
            <w:pPr>
              <w:spacing w:before="0" w:after="80" w:line="293" w:lineRule="auto"/>
              <w:jc w:val="both"/>
            </w:pPr>
            <w:r>
              <w:rPr>
                <w:rFonts w:ascii="Aptos" w:hAnsi="Aptos" w:cs="Aptos" w:eastAsia="Aptos"/>
                <w:b w:val="0"/>
                <w:i/>
                <w:color w:val="2B2B2B"/>
                <w:sz w:val="19"/>
              </w:rPr>
              <w:t>c) O número de animais por espécie;</w:t>
            </w:r>
          </w:p>
          <w:p>
            <w:pPr>
              <w:spacing w:before="0" w:after="0" w:line="293" w:lineRule="auto"/>
              <w:jc w:val="both"/>
            </w:pPr>
            <w:r>
              <w:rPr>
                <w:rFonts w:ascii="Aptos" w:hAnsi="Aptos" w:cs="Aptos" w:eastAsia="Aptos"/>
                <w:b w:val="0"/>
                <w:i/>
                <w:color w:val="2B2B2B"/>
                <w:sz w:val="19"/>
              </w:rPr>
              <w:t>d) O movimento mensal, nomeadamente registos relativos à origem e às datas das entradas, nascimentos, mortes e, ainda, datas de saída e destino dos animais.</w:t>
            </w:r>
          </w:p>
          <w:p>
            <w:pPr>
              <w:spacing w:before="120" w:after="0" w:line="293" w:lineRule="auto"/>
            </w:pPr>
            <w:r>
              <w:rPr>
                <w:rFonts w:ascii="Aptos" w:hAnsi="Aptos" w:cs="Aptos" w:eastAsia="Aptos"/>
                <w:b w:val="0"/>
                <w:i w:val="0"/>
                <w:color w:val="7C8894"/>
                <w:sz w:val="15"/>
              </w:rPr>
              <w:t>C6   ·   Decreto-Lei n.º 276/2001, artigo 5.º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Quanto às instalações, o diploma exige compartimentação individualizada. É esta a norma sobre a qual incidiu a ponderação técnica referida no ponto 3, e convém que seja lida no seu teor exato, por ser frequentemente parafraseada de modo inexato.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120" w:after="0" w:line="293" w:lineRule="auto"/>
            </w:pPr>
            <w:r>
              <w:rPr>
                <w:rFonts w:ascii="Aptos" w:hAnsi="Aptos" w:cs="Aptos" w:eastAsia="Aptos"/>
                <w:b w:val="0"/>
                <w:i w:val="0"/>
                <w:color w:val="7C8894"/>
                <w:sz w:val="15"/>
              </w:rPr>
              <w:t>C7   ·   Decreto-Lei n.º 276/2001, artigo 25.º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mesmo artigo impõe ainda enriquecimento ambiental e área de recreio para cães e gatos, e remete os parâmetros dimensionais para o anexo I do diploma. É daqui, e não de qualquer outro diploma, que resulta a capacidade admissível de um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5 — Os alojamentos referidos ao abrigo deste capítulo devem possuir estruturas e objetos que permitam enriquecer o meio ambiente, nomeadamente prateleiras, poleiros, ninhos, esconderijos e material para entretenimento dos animais conforme as espécies e o seu grau de desenvolvimento, consoante se trate de adultos, jovens ou fêmeas com ninhadas. Para além disso, os alojamentos destinados a cães e gatos devem também possuir área de recreio, coberta ou descoberta.</w:t>
            </w:r>
          </w:p>
          <w:p>
            <w:pPr>
              <w:spacing w:before="0" w:after="0" w:line="293" w:lineRule="auto"/>
              <w:jc w:val="both"/>
            </w:pPr>
            <w:r>
              <w:rPr>
                <w:rFonts w:ascii="Aptos" w:hAnsi="Aptos" w:cs="Aptos" w:eastAsia="Aptos"/>
                <w:b w:val="0"/>
                <w:i/>
                <w:color w:val="2B2B2B"/>
                <w:sz w:val="19"/>
              </w:rPr>
              <w:t>6 — Os alojamentos referidos neste capítulo devem obedecer aos parâmetros mínimos adequados à espécie, nomeadamente os constantes do anexo i do presente diploma, do qual faz parte integrante.</w:t>
            </w:r>
          </w:p>
          <w:p>
            <w:pPr>
              <w:spacing w:before="120" w:after="0" w:line="293" w:lineRule="auto"/>
            </w:pPr>
            <w:r>
              <w:rPr>
                <w:rFonts w:ascii="Aptos" w:hAnsi="Aptos" w:cs="Aptos" w:eastAsia="Aptos"/>
                <w:b w:val="0"/>
                <w:i w:val="0"/>
                <w:color w:val="7C8894"/>
                <w:sz w:val="15"/>
              </w:rPr>
              <w:t>C8   ·   Decreto-Lei n.º 276/2001, artigo 25.º</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Decreto-Lei n.º 314/2003: enquadramento e delimitação</w:t>
      </w:r>
    </w:p>
    <w:p>
      <w:pPr>
        <w:spacing w:before="0" w:after="140" w:line="293" w:lineRule="auto"/>
        <w:jc w:val="both"/>
      </w:pPr>
      <w:r>
        <w:rPr>
          <w:rFonts w:ascii="Aptos" w:hAnsi="Aptos" w:cs="Aptos" w:eastAsia="Aptos"/>
          <w:b w:val="0"/>
          <w:i w:val="0"/>
          <w:color w:val="2B2B2B"/>
          <w:sz w:val="20"/>
        </w:rPr>
        <w:t>O Decreto-Lei n.º 314/2003 aprova o Programa Nacional de Luta e Vigilância Epidemiológica da Raiva Animal e Outras Zoonoses e estabelece as regras relativas à posse e detenção, comércio, exposições e entrada em território nacional de animais suscetíveis à raiva. Releva para esta matéria por dois motivos: fixa limites ao número de animais alojados por fogo e impõe documentação sanitária nos estabelecimentos de comércio.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120" w:after="0" w:line="293" w:lineRule="auto"/>
            </w:pPr>
            <w:r>
              <w:rPr>
                <w:rFonts w:ascii="Aptos" w:hAnsi="Aptos" w:cs="Aptos" w:eastAsia="Aptos"/>
                <w:b w:val="0"/>
                <w:i w:val="0"/>
                <w:color w:val="7C8894"/>
                <w:sz w:val="15"/>
              </w:rPr>
              <w:t>C9   ·   Decreto-Lei n.º 314/2003, artigo 3.º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Estes limites regulam a detenção doméstica. Não constituem limiar de capacidade dos estabelecimentos de criação nem condicionam o acesso à atividade. Os fundamentos desta leitura desenvolvem-se em anexo autónomo; sintetizam-se aqui os essenciais.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Objeto e destinatário.</w:t>
      </w:r>
      <w:r>
        <w:rPr>
          <w:rFonts w:ascii="Aptos" w:hAnsi="Aptos" w:cs="Aptos" w:eastAsia="Aptos"/>
          <w:b w:val="0"/>
          <w:i w:val="0"/>
          <w:color w:val="2B2B2B"/>
          <w:sz w:val="20"/>
        </w:rPr>
        <w:t xml:space="preserve"> O diploma é legislação sanitária de luta contra a raiva. A epígrafe do artigo 3.º é «Detenção de cães e gatos» e o seu destinatário é o detentor, referido ao fogo. O Decreto-Lei n.º 276/2001 tem por objeto o exercício de uma atividade.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Articulação expressa feita pelo legislador.</w:t>
      </w:r>
      <w:r>
        <w:rPr>
          <w:rFonts w:ascii="Aptos" w:hAnsi="Aptos" w:cs="Aptos" w:eastAsia="Aptos"/>
          <w:b w:val="0"/>
          <w:i w:val="0"/>
          <w:color w:val="2B2B2B"/>
          <w:sz w:val="20"/>
        </w:rPr>
        <w:t xml:space="preserve"> O Decreto-Lei n.º 315/2003, publicado no mesmo dia do Decreto-Lei n.º 314/2003, alterou o Decreto-Lei n.º 276/2001 para introduzir na definição de «hospedagem sem fins lucrativos» uma exceção por remissão para o artigo 3.º do diploma da raiva. O legislador delimitou os dois planos num só ato: subtraiu a detenção doméstica ao conceito de alojamento sujeito a título de acesso, em vez de a converter em limite de capacidade.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Critérios logicamente independentes.</w:t>
      </w:r>
      <w:r>
        <w:rPr>
          <w:rFonts w:ascii="Aptos" w:hAnsi="Aptos" w:cs="Aptos" w:eastAsia="Aptos"/>
          <w:b w:val="0"/>
          <w:i w:val="0"/>
          <w:color w:val="2B2B2B"/>
          <w:sz w:val="20"/>
        </w:rPr>
        <w:t xml:space="preserve"> O Decreto-Lei n.º 276/2001 desencadeia-se com uma fêmea reprodutora; o Decreto-Lei n.º 314/2003 com o quarto animal adulto no fogo. Pode haver atividade sem excesso de lotação e lotação sem atividade.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capacidade tem regime próprio.</w:t>
      </w:r>
      <w:r>
        <w:rPr>
          <w:rFonts w:ascii="Aptos" w:hAnsi="Aptos" w:cs="Aptos" w:eastAsia="Aptos"/>
          <w:b w:val="0"/>
          <w:i w:val="0"/>
          <w:color w:val="2B2B2B"/>
          <w:sz w:val="20"/>
        </w:rPr>
        <w:t xml:space="preserve"> É declarada na mera comunicação prévia e aferida pelos parâmetros do anexo I do Decreto-Lei n.º 276/2001, por força do n.º 6 do artigo 25.º. A lei especial dos alojamentos é essa.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Consequência da tese contrária.</w:t>
      </w:r>
      <w:r>
        <w:rPr>
          <w:rFonts w:ascii="Aptos" w:hAnsi="Aptos" w:cs="Aptos" w:eastAsia="Aptos"/>
          <w:b w:val="0"/>
          <w:i w:val="0"/>
          <w:color w:val="2B2B2B"/>
          <w:sz w:val="20"/>
        </w:rPr>
        <w:t xml:space="preserve"> Se os limites por fogo valessem como capacidade dos estabelecimentos, nenhum criador em prédio urbano poderia deter mais de quatro animais adultos, e o limiar europeu de cinco fêmeas reprodutoras seria inaplicável em meio urbano. O resultado contraria a arquitetura do Regulamento e a do próprio projeto de regime.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Classificação predial é critério tributário.</w:t>
      </w:r>
      <w:r>
        <w:rPr>
          <w:rFonts w:ascii="Aptos" w:hAnsi="Aptos" w:cs="Aptos" w:eastAsia="Aptos"/>
          <w:b w:val="0"/>
          <w:i w:val="0"/>
          <w:color w:val="2B2B2B"/>
          <w:sz w:val="20"/>
        </w:rPr>
        <w:t xml:space="preserve"> Prédio urbano, rústico e misto são categorias do Código do Imposto Municipal sobre Imóveis. Fazer depender a licitude de uma atividade económica da matriz predial não encontra apoio na lei nem resiste a um juízo de proporcionalidade.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 direito da União afasta a relevância do tipo de prédio.</w:t>
      </w:r>
      <w:r>
        <w:rPr>
          <w:rFonts w:ascii="Aptos" w:hAnsi="Aptos" w:cs="Aptos" w:eastAsia="Aptos"/>
          <w:b w:val="0"/>
          <w:i w:val="0"/>
          <w:color w:val="2B2B2B"/>
          <w:sz w:val="20"/>
        </w:rPr>
        <w:t xml:space="preserve"> O Regulamento define estabelecimento de criação como qualquer instalação ou estrutura, incluindo casas particulares, onde são mantidos cães ou gatos para fins de reprodução com vista à colocação da sua descendência no mercado.</w:t>
      </w:r>
    </w:p>
    <w:p>
      <w:pPr>
        <w:spacing w:before="0" w:after="140" w:line="293" w:lineRule="auto"/>
        <w:jc w:val="both"/>
      </w:pPr>
      <w:r>
        <w:rPr>
          <w:rFonts w:ascii="Aptos" w:hAnsi="Aptos" w:cs="Aptos" w:eastAsia="Aptos"/>
          <w:b w:val="0"/>
          <w:i w:val="0"/>
          <w:color w:val="2B2B2B"/>
          <w:sz w:val="20"/>
        </w:rPr>
        <w:t>O que o Decreto-Lei n.º 314/2003 efetivamente impõe a quem comercializa consta do seu artigo 5.º e esgota-se em documentação sanitária, identificação eletrónica e profilaxias. Não regula a criação nem a reprodução.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onde deve estar aposta a etiqueta autocolante comprovativa da identificação electrónica, quando aplicável, e ter asseguradas as acções de profilaxia médica e sanitária obrigatórias ou consideradas adequadas à saúde e idade dos animais pelo médico veterinário.</w:t>
            </w:r>
          </w:p>
          <w:p>
            <w:pPr>
              <w:spacing w:before="120" w:after="0" w:line="293" w:lineRule="auto"/>
            </w:pPr>
            <w:r>
              <w:rPr>
                <w:rFonts w:ascii="Aptos" w:hAnsi="Aptos" w:cs="Aptos" w:eastAsia="Aptos"/>
                <w:b w:val="0"/>
                <w:i w:val="0"/>
                <w:color w:val="7C8894"/>
                <w:sz w:val="15"/>
              </w:rPr>
              <w:t>C10   ·   Decreto-Lei n.º 314/2003, artigo 5.º</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Regulamento (UE) 2026/1818</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 Regulamento é diretamente aplicável, sem transposição. Foi publicado no Jornal Oficial de 10 de agosto de 2026 e entra em vigor no vigésimo dia seguinte, mas só é aplicável a partir de 31 de agosto de 2028, com diferimentos até 2036 que o ponto 5.6 detalha.</w:t>
      </w:r>
    </w:p>
    <w:p>
      <w:pPr>
        <w:keepNext/>
        <w:spacing w:before="260" w:after="80" w:line="293" w:lineRule="auto"/>
      </w:pPr>
      <w:r>
        <w:rPr>
          <w:rFonts w:ascii="Aptos" w:hAnsi="Aptos" w:cs="Aptos" w:eastAsia="Aptos"/>
          <w:b/>
          <w:i w:val="0"/>
          <w:color w:val="7C8894"/>
          <w:sz w:val="21"/>
        </w:rPr>
        <w:t xml:space="preserve">5.1  </w:t>
      </w:r>
      <w:r>
        <w:rPr>
          <w:rFonts w:ascii="Aptos" w:hAnsi="Aptos" w:cs="Aptos" w:eastAsia="Aptos"/>
          <w:b/>
          <w:i w:val="0"/>
          <w:color w:val="35506B"/>
          <w:sz w:val="21"/>
        </w:rPr>
        <w:t>Conceitos operativos</w:t>
      </w:r>
    </w:p>
    <w:p>
      <w:pPr>
        <w:spacing w:before="0" w:after="140" w:line="293" w:lineRule="auto"/>
        <w:jc w:val="both"/>
      </w:pPr>
      <w:r>
        <w:rPr>
          <w:rFonts w:ascii="Aptos" w:hAnsi="Aptos" w:cs="Aptos" w:eastAsia="Aptos"/>
          <w:b w:val="0"/>
          <w:i w:val="0"/>
          <w:color w:val="2B2B2B"/>
          <w:sz w:val="20"/>
        </w:rPr>
        <w:t>O Regulamento não define criador. Regula estabelecimentos e operadores, e determina a sujeição pela colocação no mercado.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«Estabelecimento de criação», qualquer instalação ou estrutura, incluindo casas particulares, onde são mantidos cães ou gatos para fins de reprodução com vista à colocação da sua descendência no mercado.</w:t>
            </w:r>
          </w:p>
          <w:p>
            <w:pPr>
              <w:spacing w:before="0" w:after="80" w:line="293" w:lineRule="auto"/>
              <w:jc w:val="both"/>
            </w:pPr>
            <w:r>
              <w:rPr>
                <w:rFonts w:ascii="Aptos" w:hAnsi="Aptos" w:cs="Aptos" w:eastAsia="Aptos"/>
                <w:b w:val="0"/>
                <w:i/>
                <w:color w:val="2B2B2B"/>
                <w:sz w:val="19"/>
              </w:rPr>
              <w:t>«Operador», qualquer pessoa singular ou coletiva que coloca cães ou gatos no mercado e é responsável por um estabelecimento de criação, por um estabelecimento de venda ou por um abrigo e pelos cães ou gatos aí detidos, ou que coloca cães ou gatos num lar de acolhimento e é responsável pelos cães ou gatos aí detidos.</w:t>
            </w:r>
          </w:p>
          <w:p>
            <w:pPr>
              <w:spacing w:before="0" w:after="0" w:line="293" w:lineRule="auto"/>
              <w:jc w:val="both"/>
            </w:pPr>
            <w:r>
              <w:rPr>
                <w:rFonts w:ascii="Aptos" w:hAnsi="Aptos" w:cs="Aptos" w:eastAsia="Aptos"/>
                <w:b w:val="0"/>
                <w:i/>
                <w:color w:val="2B2B2B"/>
                <w:sz w:val="19"/>
              </w:rPr>
              <w:t>«Colocação no mercado», a venda, oferta para fins de venda, distribuição ou qualquer outra forma de transferência de propriedade ou responsabilidade relativa a cães e gatos, quer a título oneroso quer a título gratuito, assim como a publicidade de cães e gatos para esses fins, com exceção das doações ocasionais a intervalos irregulares por pessoas singulares que não sejam operadores sem publicidade em linha.</w:t>
            </w:r>
          </w:p>
          <w:p>
            <w:pPr>
              <w:spacing w:before="120" w:after="0" w:line="293" w:lineRule="auto"/>
            </w:pPr>
            <w:r>
              <w:rPr>
                <w:rFonts w:ascii="Aptos" w:hAnsi="Aptos" w:cs="Aptos" w:eastAsia="Aptos"/>
                <w:b w:val="0"/>
                <w:i w:val="0"/>
                <w:color w:val="7C8894"/>
                <w:sz w:val="15"/>
              </w:rPr>
              <w:t>C11   ·   Regulamento (UE) 2026/1818, artigo 4.º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exceção final merece registo, por ser a única margem de informalidade que o direito da União contém em matéria de acesso: quem faça doações ocasionais, a intervalos irregulares e sem publicidade em linha, não coloca no mercado, não é operador e não está sujeito ao Capítulo II. Essa margem resulta do texto europeu e não de opção nacional. Permanece em apreciação interna se a legislação nacional deve fechá-la, ao abrigo do artigo 30.º.</w:t>
      </w:r>
    </w:p>
    <w:p>
      <w:pPr>
        <w:keepNext/>
        <w:spacing w:before="260" w:after="80" w:line="293" w:lineRule="auto"/>
      </w:pPr>
      <w:r>
        <w:rPr>
          <w:rFonts w:ascii="Aptos" w:hAnsi="Aptos" w:cs="Aptos" w:eastAsia="Aptos"/>
          <w:b/>
          <w:i w:val="0"/>
          <w:color w:val="7C8894"/>
          <w:sz w:val="21"/>
        </w:rPr>
        <w:t xml:space="preserve">5.2  </w:t>
      </w:r>
      <w:r>
        <w:rPr>
          <w:rFonts w:ascii="Aptos" w:hAnsi="Aptos" w:cs="Aptos" w:eastAsia="Aptos"/>
          <w:b/>
          <w:i w:val="0"/>
          <w:color w:val="35506B"/>
          <w:sz w:val="21"/>
        </w:rPr>
        <w:t>O regime reduzido do artigo 5.º</w:t>
      </w:r>
    </w:p>
    <w:p>
      <w:pPr>
        <w:spacing w:before="0" w:after="140" w:line="293" w:lineRule="auto"/>
        <w:jc w:val="both"/>
      </w:pPr>
      <w:r>
        <w:rPr>
          <w:rFonts w:ascii="Aptos" w:hAnsi="Aptos" w:cs="Aptos" w:eastAsia="Aptos"/>
          <w:b w:val="0"/>
          <w:i w:val="0"/>
          <w:color w:val="2B2B2B"/>
          <w:sz w:val="20"/>
        </w:rPr>
        <w:t>O artigo 5.º não exclui do Regulamento os estabelecimentos de criação de menor dimensão. Sujeita-os a uma lista positiva e taxativa de obrigações. Tudo o que dela não conste deixa de lhes ser exigível pelo direito da União.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Um estabelecimento de criação em que não sejam produzidas mais de duas ninhadas por ano civil para colocação no mercado apenas está sujeito às obrigações previstas no artigo 6.º, no artigo 7.º, n.os 1, 3, 4 e 5, nos artigos 8.º, 9.º e 11.º, no artigo 14.º, n.os 2, 3 e 4, no artigo 15.º, n.os 3, 4 e 8, no artigo 16.º, n.º 1, alíneas b), c) e d), no artigo 17.º, n.º 2, 3, 5 e 7, no artigo 18.º, no artigo 19.º, n.º 1 e nos pontos 3 e 4.3 do anexo I.</w:t>
            </w:r>
          </w:p>
          <w:p>
            <w:pPr>
              <w:spacing w:before="120" w:after="0" w:line="293" w:lineRule="auto"/>
            </w:pPr>
            <w:r>
              <w:rPr>
                <w:rFonts w:ascii="Aptos" w:hAnsi="Aptos" w:cs="Aptos" w:eastAsia="Aptos"/>
                <w:b w:val="0"/>
                <w:i w:val="0"/>
                <w:color w:val="7C8894"/>
                <w:sz w:val="15"/>
              </w:rPr>
              <w:t>C12   ·   Regulamento (UE) 2026/1818, artigo 5.º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quadro seguinte traduz essa lista. A leitura conjugada com o artigo 33.º impõe uma advertência: o regime reduzido dispensa obrigações de bem-estar substantivas, e não apenas formalidades.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49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Disposição</w:t>
            </w:r>
          </w:p>
        </w:tc>
        <w:tc>
          <w:tcPr>
            <w:tcW w:type="dxa" w:w="544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Até 2 ninhadas</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6.º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Princípios gerais de bem-estar</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7.º, n.os 1, 3, 4 e 5</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Responsabilidade do operador; proibição de crueldade e de abandono; realojamento na cessação de atividade</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7.º, n.os 6 e 7</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Número suficiente de tratadores; monitorização por indicadores baseados nos animais</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8.º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Estratégia de criação; conformações extremas; consanguinidade; híbridos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9.º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e registo do estabelecimento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10.º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Aprovação do estabelecimento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11.º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Informação ao adquirente e historial clínico e sanitário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12.º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Competências dos tratadores de animais</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13.º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Visitas de aconselhamento para assegurar o bem-estar</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14.º, n.os 2, 3 e 4</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Água e alimento adequados; limpeza e conceção das instalações de alimentação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14.º, n.º 1, e anexo I, ponto 1</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Frequência mínima de alimentação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15.º, n.os 3, 4 e 8</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Proibição de contentores; acesso diário ao exterior de pelo menos uma hora; ritmo circadiano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15.º, n.os 1, 2, 5, 6 e 7, e anexo I, ponto 2</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Espaço disponível mínimo; temperatura das áreas de parto; iluminação; adequação e limpeza do edifício e do equipamento; zonas de descanso; proteção climática; gatis; zona termicamente neutra; aquecimento e arrefecimento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16.º, n.º 1, als. b), c) e d)</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Cuidados de saúde, isolamento de animais doentes e assistência médico-veterinária</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16.º, n.º 1, al. a), e n.º 2</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Inspeção dos animais pelos tratadores pelo menos uma vez por dia; medidas de proteção da saúde nos estabelecimentos de criação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17.º, n.os 2, 3, 5 e 7</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restrição dos movimentos naturais; proibição de amarrar por mais de uma hora; condições para comportamentos sociais; disponibilização de enriquecimentos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17.º, n.os 1 e 6, e anexo I, pontos 4.1 e 4.2</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Especificações de socialização e de enriquecimento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18.º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Práticas dolorosas e mutilações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19.º, n.º 1</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Espetáculos, exposições e concursos de beleza</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Anexo I, ponto 3</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Limites reprodutivos: idade mínima, três ninhadas em dois anos, período de recuperação, duas cesarianas, exame veterinário em idade avançada</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Anexo I, ponto 4.3</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Idade mínima de separação das crias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5.3  </w:t>
      </w:r>
      <w:r>
        <w:rPr>
          <w:rFonts w:ascii="Aptos" w:hAnsi="Aptos" w:cs="Aptos" w:eastAsia="Aptos"/>
          <w:b/>
          <w:i w:val="0"/>
          <w:color w:val="35506B"/>
          <w:sz w:val="21"/>
        </w:rPr>
        <w:t>O que não admite redução por escala</w:t>
      </w:r>
    </w:p>
    <w:p>
      <w:pPr>
        <w:spacing w:before="0" w:after="140" w:line="293" w:lineRule="auto"/>
        <w:jc w:val="both"/>
      </w:pPr>
      <w:r>
        <w:rPr>
          <w:rFonts w:ascii="Aptos" w:hAnsi="Aptos" w:cs="Aptos" w:eastAsia="Aptos"/>
          <w:b w:val="0"/>
          <w:i w:val="0"/>
          <w:color w:val="2B2B2B"/>
          <w:sz w:val="20"/>
        </w:rPr>
        <w:t>A epígrafe do artigo 5.º é «Isenções das obrigações definidas no presente capítulo». O seu âmbito esgota-se no Capítulo II. As obrigações de identificação e registo dos animais e de publicidade em linha integram o Capítulo III e aplicam-se sem qualquer modulação por dimensão do estabelecimento. É esta a resposta técnica à objeção de que um regime proporcional favoreceria o comércio ilegal.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Todos os cães e gatos detidos em estabelecimentos, colocados no mercado ou detidos por um proprietário de animais de companhia ou por qualquer outra pessoa singular ou coletiva devem ser identificados individualmente através de um único transponder injetável que contenha um circuito integrado legível que cumpra os requisitos estabelecidos no anexo II.</w:t>
            </w:r>
          </w:p>
          <w:p>
            <w:pPr>
              <w:spacing w:before="0" w:after="0" w:line="293" w:lineRule="auto"/>
              <w:jc w:val="both"/>
            </w:pPr>
            <w:r>
              <w:rPr>
                <w:rFonts w:ascii="Aptos" w:hAnsi="Aptos" w:cs="Aptos" w:eastAsia="Aptos"/>
                <w:b w:val="0"/>
                <w:i/>
                <w:color w:val="2B2B2B"/>
                <w:sz w:val="19"/>
              </w:rPr>
              <w:t>2 — Os operadores asseguram que os cães e gatos nascidos nos seus estabelecimentos sejam identificados individualmente no prazo de três meses após o seu nascimento e sempre antes da data da sua colocação no mercado.</w:t>
            </w:r>
          </w:p>
          <w:p>
            <w:pPr>
              <w:spacing w:before="120" w:after="0" w:line="293" w:lineRule="auto"/>
            </w:pPr>
            <w:r>
              <w:rPr>
                <w:rFonts w:ascii="Aptos" w:hAnsi="Aptos" w:cs="Aptos" w:eastAsia="Aptos"/>
                <w:b w:val="0"/>
                <w:i w:val="0"/>
                <w:color w:val="7C8894"/>
                <w:sz w:val="15"/>
              </w:rPr>
              <w:t>C13   ·   Regulamento (UE) 2026/1818, artigo 20.º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universalidade do n.º 1 tem consequência prática relevante: mesmo quem beneficie da exceção das doações ocasionais está obrigado a identificar e a registar os animais. A margem de informalidade existente no direito da União respeita ao acesso à atividade, nunca à rastreabilidade do animal.</w:t>
      </w:r>
    </w:p>
    <w:p>
      <w:pPr>
        <w:keepNext/>
        <w:spacing w:before="260" w:after="80" w:line="293" w:lineRule="auto"/>
      </w:pPr>
      <w:r>
        <w:rPr>
          <w:rFonts w:ascii="Aptos" w:hAnsi="Aptos" w:cs="Aptos" w:eastAsia="Aptos"/>
          <w:b/>
          <w:i w:val="0"/>
          <w:color w:val="7C8894"/>
          <w:sz w:val="21"/>
        </w:rPr>
        <w:t xml:space="preserve">5.4  </w:t>
      </w:r>
      <w:r>
        <w:rPr>
          <w:rFonts w:ascii="Aptos" w:hAnsi="Aptos" w:cs="Aptos" w:eastAsia="Aptos"/>
          <w:b/>
          <w:i w:val="0"/>
          <w:color w:val="35506B"/>
          <w:sz w:val="21"/>
        </w:rPr>
        <w:t>Notificação, registo e aprovação</w:t>
      </w:r>
    </w:p>
    <w:p>
      <w:pPr>
        <w:spacing w:before="0" w:after="140" w:line="293" w:lineRule="auto"/>
        <w:jc w:val="both"/>
      </w:pPr>
      <w:r>
        <w:rPr>
          <w:rFonts w:ascii="Aptos" w:hAnsi="Aptos" w:cs="Aptos" w:eastAsia="Aptos"/>
          <w:b w:val="0"/>
          <w:i w:val="0"/>
          <w:color w:val="2B2B2B"/>
          <w:sz w:val="20"/>
        </w:rPr>
        <w:t>A notificação do estabelecimento é obrigação sem exceções, aplicável desde a primeira ninhada colocada no mercado. O seu conteúdo coincide, em larga medida, com o da mera comunicação prévia nacional, o que permite absorvê-la sem criar procedimento novo.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operadores notificam as autoridades competentes da sua atividade, facultando pelo menos as seguintes informações para cada um dos seus estabelecimentos:</w:t>
            </w:r>
          </w:p>
          <w:p>
            <w:pPr>
              <w:spacing w:before="0" w:after="80" w:line="293" w:lineRule="auto"/>
              <w:jc w:val="both"/>
            </w:pPr>
            <w:r>
              <w:rPr>
                <w:rFonts w:ascii="Aptos" w:hAnsi="Aptos" w:cs="Aptos" w:eastAsia="Aptos"/>
                <w:b w:val="0"/>
                <w:i/>
                <w:color w:val="2B2B2B"/>
                <w:sz w:val="19"/>
              </w:rPr>
              <w:t>a) O nome, o endereço e dados de contacto do operador;</w:t>
            </w:r>
          </w:p>
          <w:p>
            <w:pPr>
              <w:spacing w:before="0" w:after="80" w:line="293" w:lineRule="auto"/>
              <w:jc w:val="both"/>
            </w:pPr>
            <w:r>
              <w:rPr>
                <w:rFonts w:ascii="Aptos" w:hAnsi="Aptos" w:cs="Aptos" w:eastAsia="Aptos"/>
                <w:b w:val="0"/>
                <w:i/>
                <w:color w:val="2B2B2B"/>
                <w:sz w:val="19"/>
              </w:rPr>
              <w:t>b) A localização do estabelecimento;</w:t>
            </w:r>
          </w:p>
          <w:p>
            <w:pPr>
              <w:spacing w:before="0" w:after="80" w:line="293" w:lineRule="auto"/>
              <w:jc w:val="both"/>
            </w:pPr>
            <w:r>
              <w:rPr>
                <w:rFonts w:ascii="Aptos" w:hAnsi="Aptos" w:cs="Aptos" w:eastAsia="Aptos"/>
                <w:b w:val="0"/>
                <w:i/>
                <w:color w:val="2B2B2B"/>
                <w:sz w:val="19"/>
              </w:rPr>
              <w:t>c) O tipo de estabelecimento: estabelecimento de criação, estabelecimento de venda, abrigo ou lar de acolhimento;</w:t>
            </w:r>
          </w:p>
          <w:p>
            <w:pPr>
              <w:spacing w:before="0" w:after="80" w:line="293" w:lineRule="auto"/>
              <w:jc w:val="both"/>
            </w:pPr>
            <w:r>
              <w:rPr>
                <w:rFonts w:ascii="Aptos" w:hAnsi="Aptos" w:cs="Aptos" w:eastAsia="Aptos"/>
                <w:b w:val="0"/>
                <w:i/>
                <w:color w:val="2B2B2B"/>
                <w:sz w:val="19"/>
              </w:rPr>
              <w:t>d) A espécie e, para os estabelecimentos de criação, as raças dos cães ou gatos detidos no estabelecimento;</w:t>
            </w:r>
          </w:p>
          <w:p>
            <w:pPr>
              <w:spacing w:before="0" w:after="80" w:line="293" w:lineRule="auto"/>
              <w:jc w:val="both"/>
            </w:pPr>
            <w:r>
              <w:rPr>
                <w:rFonts w:ascii="Aptos" w:hAnsi="Aptos" w:cs="Aptos" w:eastAsia="Aptos"/>
                <w:b w:val="0"/>
                <w:i/>
                <w:color w:val="2B2B2B"/>
                <w:sz w:val="19"/>
              </w:rPr>
              <w:t>e) A capacidade do estabelecimento, expressa em termos de número máximo de cães e gatos que podem ser detidos no estabelecimento;</w:t>
            </w:r>
          </w:p>
          <w:p>
            <w:pPr>
              <w:spacing w:before="0" w:after="0" w:line="293" w:lineRule="auto"/>
              <w:jc w:val="both"/>
            </w:pPr>
            <w:r>
              <w:rPr>
                <w:rFonts w:ascii="Aptos" w:hAnsi="Aptos" w:cs="Aptos" w:eastAsia="Aptos"/>
                <w:b w:val="0"/>
                <w:i/>
                <w:color w:val="2B2B2B"/>
                <w:sz w:val="19"/>
              </w:rPr>
              <w:t>f) No caso dos estabelecimentos de criação, o número estimado de ninhadas a colocar no mercado por ano.</w:t>
            </w:r>
          </w:p>
          <w:p>
            <w:pPr>
              <w:spacing w:before="120" w:after="0" w:line="293" w:lineRule="auto"/>
            </w:pPr>
            <w:r>
              <w:rPr>
                <w:rFonts w:ascii="Aptos" w:hAnsi="Aptos" w:cs="Aptos" w:eastAsia="Aptos"/>
                <w:b w:val="0"/>
                <w:i w:val="0"/>
                <w:color w:val="7C8894"/>
                <w:sz w:val="15"/>
              </w:rPr>
              <w:t>C14   ·   Regulamento (UE) 2026/1818, artigo 9.º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Acima dos limiares, o Regulamento exige aprovação prévia, e essa aprovação assenta em inspeção. Trata-se de controlo prévio ao local, e não de mera verificação documental.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operadores de estabelecimentos de criação que produzam ou tencionem produzir mais de cinco ninhadas por ano civil, ou que, a qualquer momento, detenham um total combinado de mais de cinco cadelas reprodutoras ou gatas reprodutoras, só podem colocar cães ou gatos no mercado após aprovação do seu estabelecimento de criação pela autoridade competente.</w:t>
            </w:r>
          </w:p>
          <w:p>
            <w:pPr>
              <w:spacing w:before="0" w:after="0" w:line="293" w:lineRule="auto"/>
              <w:jc w:val="both"/>
            </w:pPr>
            <w:r>
              <w:rPr>
                <w:rFonts w:ascii="Aptos" w:hAnsi="Aptos" w:cs="Aptos" w:eastAsia="Aptos"/>
                <w:b w:val="0"/>
                <w:i/>
                <w:color w:val="2B2B2B"/>
                <w:sz w:val="19"/>
              </w:rPr>
              <w:t>2 — A autoridade competente efetua inspeções no local para verificar se o estabelecimento de criação cumpre os requisitos do presente regulamento. Os Estados-Membros podem autorizar que estas inspeções sejam realizadas à distância, desde que o meio de comunicação à distância utilizado permita recolher provas suficientes para que a autoridade competente realize inspeções fiáveis. A autoridade competente só deve conceder certificados de aprovação a estabelecimentos de criação que cumpram os requisitos do presente regulamento.</w:t>
            </w:r>
          </w:p>
          <w:p>
            <w:pPr>
              <w:spacing w:before="120" w:after="0" w:line="293" w:lineRule="auto"/>
            </w:pPr>
            <w:r>
              <w:rPr>
                <w:rFonts w:ascii="Aptos" w:hAnsi="Aptos" w:cs="Aptos" w:eastAsia="Aptos"/>
                <w:b w:val="0"/>
                <w:i w:val="0"/>
                <w:color w:val="7C8894"/>
                <w:sz w:val="15"/>
              </w:rPr>
              <w:t>C15   ·   Regulamento (UE) 2026/1818, artigo 10.º</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5.5  </w:t>
      </w:r>
      <w:r>
        <w:rPr>
          <w:rFonts w:ascii="Aptos" w:hAnsi="Aptos" w:cs="Aptos" w:eastAsia="Aptos"/>
          <w:b/>
          <w:i w:val="0"/>
          <w:color w:val="35506B"/>
          <w:sz w:val="21"/>
        </w:rPr>
        <w:t>Reprodução e crias</w:t>
      </w:r>
    </w:p>
    <w:p>
      <w:pPr>
        <w:spacing w:before="0" w:after="140" w:line="293" w:lineRule="auto"/>
        <w:jc w:val="both"/>
      </w:pPr>
      <w:r>
        <w:rPr>
          <w:rFonts w:ascii="Aptos" w:hAnsi="Aptos" w:cs="Aptos" w:eastAsia="Aptos"/>
          <w:b w:val="0"/>
          <w:i w:val="0"/>
          <w:color w:val="2B2B2B"/>
          <w:sz w:val="20"/>
        </w:rPr>
        <w:t>Os limites reprodutivos constam do ponto 3 do anexo I e aplicam-se integralmente aos estabelecimentos até duas ninhadas, tal como o artigo 8.º. É um dos domínios em que o regime reduzido não cede, e é também aquele em que o direito da União inova face ao regime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243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c>
          <w:tcPr>
            <w:tcW w:type="dxa" w:w="697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Regra</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Início da reprodução</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Gatas a partir dos 10 meses. Cadelas não antes do segundo cio.</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Frequência</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Máximo de três ninhadas, incluindo nados-mortos, num período de dois anos.</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Recuperação</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Período mínimo de um ano após três ninhadas em dois anos.</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Cesarianas</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 fêmea submetida a duas cesarianas deixa de ser utilizada para a reprodução.</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Idade avançada</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Exame físico e confirmação escrita de médico veterinário para cadelas com oito ou mais anos e gatas com seis ou mais anos.</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Separação das crias</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Cachorros: oito semanas. Gatinhos em estabelecimento de criação: doze semanas. Antecipação apenas por parecer escrito de médico veterinário.</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Conformações extremas</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Proibida a utilização para reprodução de animais com características de conformação extremas de elevado risco, com consulta prévia de médico veterinário ou pessoa qualificada independente.</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Consanguinidade e híbridos</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Proibida a reprodução entre progenitores e descendência, entre irmãos, entre meios-irmãos ou entre avós e netos, salvo aprovação para preservação de raças locais com património genético limitado. Proibida a reprodução para produção de híbridos.</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5.6  </w:t>
      </w:r>
      <w:r>
        <w:rPr>
          <w:rFonts w:ascii="Aptos" w:hAnsi="Aptos" w:cs="Aptos" w:eastAsia="Aptos"/>
          <w:b/>
          <w:i w:val="0"/>
          <w:color w:val="35506B"/>
          <w:sz w:val="21"/>
        </w:rPr>
        <w:t>Calendário de aplicação</w:t>
      </w:r>
    </w:p>
    <w:p>
      <w:pPr>
        <w:spacing w:before="0" w:after="140" w:line="293" w:lineRule="auto"/>
        <w:jc w:val="both"/>
      </w:pPr>
      <w:r>
        <w:rPr>
          <w:rFonts w:ascii="Aptos" w:hAnsi="Aptos" w:cs="Aptos" w:eastAsia="Aptos"/>
          <w:b w:val="0"/>
          <w:i w:val="0"/>
          <w:color w:val="2B2B2B"/>
          <w:sz w:val="20"/>
        </w:rPr>
        <w:t>O Regulamento é hoje direito vigente, mas quase nenhuma das suas obrigações é ainda exigível. A distinção entre entrada em vigor e início de aplicação é essencial para situar corretamente o debate e para calendarizar a adaptação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158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Data</w:t>
            </w:r>
          </w:p>
        </w:tc>
        <w:tc>
          <w:tcPr>
            <w:tcW w:type="dxa" w:w="782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Disposições</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31.08.2028</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Regra geral, incluindo o artigo 5.º, o artigo 9.º (notificação e registo de estabelecimentos), o artigo 20.º (identificação e registo dos animais) e o anexo I, ponto 3 (limites reprodutivos). Termo do prazo do n.º 2 do artigo 30.º para comunicação das regras nacionais mais restritivas.</w:t>
            </w:r>
          </w:p>
        </w:tc>
      </w:tr>
      <w:tr>
        <w:trPr>
          <w:cantSplit/>
        </w:trPr>
        <w:tc>
          <w:tcPr>
            <w:tcW w:type="dxa" w:w="158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31.08.2029</w:t>
            </w:r>
          </w:p>
        </w:tc>
        <w:tc>
          <w:tcPr>
            <w:tcW w:type="dxa" w:w="78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16.º (saúde).</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01.07.2030</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8.º, n.º 2 (conformações extremas). Artigo 21.º, n.º 3, e artigo 23.º, n.º 1, a partir de 31.08.2030.</w:t>
            </w:r>
          </w:p>
        </w:tc>
      </w:tr>
      <w:tr>
        <w:trPr>
          <w:cantSplit/>
        </w:trPr>
        <w:tc>
          <w:tcPr>
            <w:tcW w:type="dxa" w:w="158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31.08.2031</w:t>
            </w:r>
          </w:p>
        </w:tc>
        <w:tc>
          <w:tcPr>
            <w:tcW w:type="dxa" w:w="78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15.º (alojamento) e, com ele, o anexo I, ponto 2 (espaço, temperatura e iluminação). Artigo 22.º, n.º 1, als. a), b) e c); artigo 23.º, n.os 3 e 4; artigo 26.º, n.os 1, 2 e 3.</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31.08.2033</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12.º, n.os 2 e 3 (competências dos tratadores).</w:t>
            </w:r>
          </w:p>
        </w:tc>
      </w:tr>
      <w:tr>
        <w:trPr>
          <w:cantSplit/>
        </w:trPr>
        <w:tc>
          <w:tcPr>
            <w:tcW w:type="dxa" w:w="158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31.08.2034</w:t>
            </w:r>
          </w:p>
        </w:tc>
        <w:tc>
          <w:tcPr>
            <w:tcW w:type="dxa" w:w="78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10.º (aprovação dos estabelecimentos acima dos limiares).</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01.07.2036</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8.º, n.º 1 (genótipos). Artigo 26.º, n.º 4, a partir de 31.08.2036.</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O regime de aprovação previsto no artigo 10.º, que constitui o escalão superior do modelo proposto no ponto 7, só é aplicável a partir de </w:t>
            </w:r>
            <w:r>
              <w:rPr>
                <w:rFonts w:ascii="Aptos" w:hAnsi="Aptos" w:cs="Aptos" w:eastAsia="Aptos"/>
                <w:b/>
                <w:i w:val="0"/>
                <w:color w:val="2B2B2B"/>
                <w:sz w:val="19"/>
              </w:rPr>
              <w:t>31 de agosto de 2034</w:t>
            </w:r>
            <w:r>
              <w:rPr>
                <w:rFonts w:ascii="Aptos" w:hAnsi="Aptos" w:cs="Aptos" w:eastAsia="Aptos"/>
                <w:b w:val="0"/>
                <w:i w:val="0"/>
                <w:color w:val="2B2B2B"/>
                <w:sz w:val="19"/>
              </w:rPr>
              <w:t>. Até lá, o controlo dos estabelecimentos de maior dimensão assenta no direito nacional, designadamente na permissão administrativa e nos controlos oficiais realizados nos termos do Regulamento (UE) 2017/625.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Projeto de Regime Geral do Animal de Companhia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 projeto consolida o regime nacional e adapta os procedimentos ao Regulamento. Na versão de trabalho em apreciação, mantém os dois títulos de acesso existentes e redistribui-os em função da escala, no sentido do agravamento.</w:t>
      </w:r>
    </w:p>
    <w:p>
      <w:pPr>
        <w:keepNext/>
        <w:spacing w:before="260" w:after="80" w:line="293" w:lineRule="auto"/>
      </w:pPr>
      <w:r>
        <w:rPr>
          <w:rFonts w:ascii="Aptos" w:hAnsi="Aptos" w:cs="Aptos" w:eastAsia="Aptos"/>
          <w:b/>
          <w:i w:val="0"/>
          <w:color w:val="7C8894"/>
          <w:sz w:val="21"/>
        </w:rPr>
        <w:t xml:space="preserve">6.1  </w:t>
      </w:r>
      <w:r>
        <w:rPr>
          <w:rFonts w:ascii="Aptos" w:hAnsi="Aptos" w:cs="Aptos" w:eastAsia="Aptos"/>
          <w:b/>
          <w:i w:val="0"/>
          <w:color w:val="35506B"/>
          <w:sz w:val="21"/>
        </w:rPr>
        <w:t>Títulos de acesso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Sem prejuízo do disposto no Decreto-Lei n.º 48/2011, de 1 de abril, alterado pelo Decreto-Lei n.º 10/2015, de 16 de janeiro, quanto aos estabelecimentos de comércio a retalho de animais de companhia, o exercício da atividade de exploração de estabelecimentos depende de:</w:t>
            </w:r>
          </w:p>
          <w:p>
            <w:pPr>
              <w:spacing w:before="0" w:after="80" w:line="293" w:lineRule="auto"/>
              <w:jc w:val="both"/>
            </w:pPr>
            <w:r>
              <w:rPr>
                <w:rFonts w:ascii="Aptos" w:hAnsi="Aptos" w:cs="Aptos" w:eastAsia="Aptos"/>
                <w:b w:val="0"/>
                <w:i/>
                <w:color w:val="2B2B2B"/>
                <w:sz w:val="19"/>
              </w:rPr>
              <w:t>a) Mera comunicação prévia, no caso dos centros de recolha oficial, abrigos, estabelecimentos de reprodução e criação, e de manutenção, com exceção dos destinados exclusivamente à venda, sem prejuízo do disposto na alínea seguinte;</w:t>
            </w:r>
          </w:p>
          <w:p>
            <w:pPr>
              <w:spacing w:before="0" w:after="0" w:line="293" w:lineRule="auto"/>
              <w:jc w:val="both"/>
            </w:pPr>
            <w:r>
              <w:rPr>
                <w:rFonts w:ascii="Aptos" w:hAnsi="Aptos" w:cs="Aptos" w:eastAsia="Aptos"/>
                <w:b w:val="0"/>
                <w:i/>
                <w:color w:val="2B2B2B"/>
                <w:sz w:val="19"/>
              </w:rPr>
              <w:t>b) Permissão administrativa, no caso dos estabelecimentos destinados à reprodução e criação de animais potencialmente perigosos, nomeadamente de cães das raças consideradas como potencialmente perigosas, bem como, os estabelecimentos de criação que produzam ou tencionem produzir mais de cinco ninhadas por ano civil, ou que, a qualquer momento, detenham um total combinado de mais de cinco cadelas ou gatas reprodutoras.</w:t>
            </w:r>
          </w:p>
          <w:p>
            <w:pPr>
              <w:spacing w:before="120" w:after="0" w:line="293" w:lineRule="auto"/>
            </w:pPr>
            <w:r>
              <w:rPr>
                <w:rFonts w:ascii="Aptos" w:hAnsi="Aptos" w:cs="Aptos" w:eastAsia="Aptos"/>
                <w:b w:val="0"/>
                <w:i w:val="0"/>
                <w:color w:val="7C8894"/>
                <w:sz w:val="15"/>
              </w:rPr>
              <w:t>C16   ·   Projeto de RGAC, artigo 45.º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projeto absorve o artigo 9.º do Regulamento na mera comunicação prévia e o artigo 10.º na permissão administrativa. Não cria figura nova. O efeito líquido, face ao direito vigente, é de agravamento: estabelecimentos hoje sujeitos a mera comunicação prévia passam a carecer de permissão administrativa quando ultrapassem os limiares europeus.</w:t>
      </w:r>
    </w:p>
    <w:p>
      <w:pPr>
        <w:keepNext/>
        <w:spacing w:before="260" w:after="80" w:line="293" w:lineRule="auto"/>
      </w:pPr>
      <w:r>
        <w:rPr>
          <w:rFonts w:ascii="Aptos" w:hAnsi="Aptos" w:cs="Aptos" w:eastAsia="Aptos"/>
          <w:b/>
          <w:i w:val="0"/>
          <w:color w:val="7C8894"/>
          <w:sz w:val="21"/>
        </w:rPr>
        <w:t xml:space="preserve">6.2  </w:t>
      </w:r>
      <w:r>
        <w:rPr>
          <w:rFonts w:ascii="Aptos" w:hAnsi="Aptos" w:cs="Aptos" w:eastAsia="Aptos"/>
          <w:b/>
          <w:i w:val="0"/>
          <w:color w:val="35506B"/>
          <w:sz w:val="21"/>
        </w:rPr>
        <w:t>A opção mais restritiva e o artigo 30.º</w:t>
      </w:r>
    </w:p>
    <w:p>
      <w:pPr>
        <w:spacing w:before="0" w:after="140" w:line="293" w:lineRule="auto"/>
        <w:jc w:val="both"/>
      </w:pPr>
      <w:r>
        <w:rPr>
          <w:rFonts w:ascii="Aptos" w:hAnsi="Aptos" w:cs="Aptos" w:eastAsia="Aptos"/>
          <w:b w:val="0"/>
          <w:i w:val="0"/>
          <w:color w:val="2B2B2B"/>
          <w:sz w:val="20"/>
        </w:rPr>
        <w:t>A versão de trabalho do projeto não contém a redução do artigo 5.º. A expressão «duas ninhadas» não ocorre no seu articulado. A consequência é que todas as obrigações de bem-estar e de rastreabilidade se aplicam a qualquer estabelecimento de criação, independentemente do número de ninhadas ou de fêmeas reprodutoras. Trata-se de uma opção deliberada, que o Regulamento expressamente comporta.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presente regulamento não obsta a que os Estados-Membros mantenham ou adotem regras nacionais mais restritivas que visem uma proteção mais ampla do bem-estar dos cães e gatos detidos em estabelecimentos e uma maior rastreabilidade dos cães e gatos, desde que essas regras não sejam incompatíveis com o presente regulamento e não interfiram com o correto funcionamento do mercado interno.</w:t>
            </w:r>
          </w:p>
          <w:p>
            <w:pPr>
              <w:spacing w:before="0" w:after="0" w:line="293" w:lineRule="auto"/>
              <w:jc w:val="both"/>
            </w:pPr>
            <w:r>
              <w:rPr>
                <w:rFonts w:ascii="Aptos" w:hAnsi="Aptos" w:cs="Aptos" w:eastAsia="Aptos"/>
                <w:b w:val="0"/>
                <w:i/>
                <w:color w:val="2B2B2B"/>
                <w:sz w:val="19"/>
              </w:rPr>
              <w:t>2 — Os Estados-Membros informam, até 31 de agosto de 2028, a Comissão acerca de quaisquer regras nacionais mais restritivas que tencionem manter em conformidade com o n.º 1 do presente artigo.</w:t>
            </w:r>
          </w:p>
          <w:p>
            <w:pPr>
              <w:spacing w:before="120" w:after="0" w:line="293" w:lineRule="auto"/>
            </w:pPr>
            <w:r>
              <w:rPr>
                <w:rFonts w:ascii="Aptos" w:hAnsi="Aptos" w:cs="Aptos" w:eastAsia="Aptos"/>
                <w:b w:val="0"/>
                <w:i w:val="0"/>
                <w:color w:val="7C8894"/>
                <w:sz w:val="15"/>
              </w:rPr>
              <w:t>C17   ·   Regulamento (UE) 2026/1818, artigo 30.º</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Duas consequências devem ser retidas. Primeira: a não concessão da redução do artigo 5.º é uma regra nacional mais restritiva e </w:t>
            </w:r>
            <w:r>
              <w:rPr>
                <w:rFonts w:ascii="Aptos" w:hAnsi="Aptos" w:cs="Aptos" w:eastAsia="Aptos"/>
                <w:b/>
                <w:i w:val="0"/>
                <w:color w:val="2B2B2B"/>
                <w:sz w:val="20"/>
              </w:rPr>
              <w:t>carece de comunicação à Comissão até 31 de agosto de 2028</w:t>
            </w:r>
            <w:r>
              <w:rPr>
                <w:rFonts w:ascii="Aptos" w:hAnsi="Aptos" w:cs="Aptos" w:eastAsia="Aptos"/>
                <w:b w:val="0"/>
                <w:i w:val="0"/>
                <w:color w:val="2B2B2B"/>
                <w:sz w:val="20"/>
              </w:rPr>
              <w:t>. Segunda: qualquer aligeiramento que venha a ser ponderado quanto a instalações parte de um patamar nacional já superior ao europeu, e não de uma derrogação ao direito da União.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6.3  </w:t>
      </w:r>
      <w:r>
        <w:rPr>
          <w:rFonts w:ascii="Aptos" w:hAnsi="Aptos" w:cs="Aptos" w:eastAsia="Aptos"/>
          <w:b/>
          <w:i w:val="0"/>
          <w:color w:val="35506B"/>
          <w:sz w:val="21"/>
        </w:rPr>
        <w:t>Matérias por consolidar</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Atualização das remissões internas e das referências ao Regulamento, hoje provisórias no articulado.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Harmonização entre os limites reprodutivos do anexo I do Regulamento e as opções do anexo técnico nacional.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Coerência entre a proibição de contentores do n.º 3 do artigo 15.º do Regulamento e as tabelas nacionais que ainda empregam a expressão «gaiola».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Articulação da definição de criador com o regime de registo. A definição em projeto conserva a referência a atividade comercial, que é incompatível com o propósito assumido de abandonar o critério do fim lucrativo.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Decisão quanto à exceção das doações ocasionais na definição de colocação no mercado, que o projeto transcreve do Regulamento e que constitui a única margem de informalidade em matéria de acesso.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Delimitação dos requisitos estruturais suscetíveis de equivalência funcional, nos termos do ponto 7.3.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A hipótese de caducidade quinquenal do registo, por vezes referida a propósito deste projeto, não constitui matéria do articulado. Consta de uma nota de trabalho dirigida ao serviço jurídico, que propõe ponderar um regime de renovação da comunicação ou da permissão ao fim de cinco anos, com a finalidade de manter a lista de estabelecimentos atualizada para efeitos de afetação de meios em situações de catástrofe ou emergência. Deve ser tratada como questão de desenho registral, não como requisito de acesso à atividade.</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Modelo nacional</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7.1  </w:t>
      </w:r>
      <w:r>
        <w:rPr>
          <w:rFonts w:ascii="Aptos" w:hAnsi="Aptos" w:cs="Aptos" w:eastAsia="Aptos"/>
          <w:b/>
          <w:i w:val="0"/>
          <w:color w:val="35506B"/>
          <w:sz w:val="21"/>
        </w:rPr>
        <w:t>Escalões</w:t>
      </w:r>
    </w:p>
    <w:p>
      <w:pPr>
        <w:spacing w:before="0" w:after="140" w:line="293" w:lineRule="auto"/>
        <w:jc w:val="both"/>
      </w:pPr>
      <w:r>
        <w:rPr>
          <w:rFonts w:ascii="Aptos" w:hAnsi="Aptos" w:cs="Aptos" w:eastAsia="Aptos"/>
          <w:b w:val="0"/>
          <w:i w:val="0"/>
          <w:color w:val="2B2B2B"/>
          <w:sz w:val="20"/>
        </w:rPr>
        <w:t>O Regulamento estabelece dois patamares: o regime reduzido do artigo 5.º e a aprovação do artigo 10.º. O escalão intermédio do quadro seguinte é construção nacional, destinada a tornar visível a faixa que, não beneficiando da redução europeia, também não atinge os limiares de aprovação. Em todos os escalões o título de acesso gera número de identificação e publicitação, e em todos se aplica o direito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2353"/>
        <w:gridCol w:w="2353"/>
        <w:gridCol w:w="2353"/>
        <w:gridCol w:w="2353"/>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Escalão</w:t>
            </w:r>
          </w:p>
        </w:tc>
        <w:tc>
          <w:tcPr>
            <w:tcW w:type="dxa" w:w="243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Critério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Título de acesso</w:t>
            </w:r>
          </w:p>
        </w:tc>
        <w:tc>
          <w:tcPr>
            <w:tcW w:type="dxa" w:w="300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Regime material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Pequena escala</w:t>
            </w:r>
          </w:p>
        </w:tc>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Até 2 ninhadas por ano civil colocadas no mercado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com registo no SIAC</w:t>
            </w:r>
          </w:p>
        </w:tc>
        <w:tc>
          <w:tcPr>
            <w:tcW w:type="dxa" w:w="300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nacional integral. O projeto não acolhe a redução do artigo 5.º do Regulamento.</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geral</w:t>
            </w:r>
          </w:p>
        </w:tc>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 3 a 5 ninhadas por ano civil, sem exceder 5 fêmeas reprodutoras</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com registo no SIAC</w:t>
            </w:r>
          </w:p>
        </w:tc>
        <w:tc>
          <w:tcPr>
            <w:tcW w:type="dxa" w:w="300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nacional integral e regime geral do Regulamento.</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Sujeito a aprovação</w:t>
            </w:r>
          </w:p>
        </w:tc>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Mais de 5 ninhadas por ano civil ou mais de 5 cadelas ou gatas reprodutoras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Permissão administrativa, absorvendo a aprovação do artigo 10.º</w:t>
            </w:r>
          </w:p>
        </w:tc>
        <w:tc>
          <w:tcPr>
            <w:tcW w:type="dxa" w:w="300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integral, com inspeção prévia ao local e lista pública de estabelecimentos aprovados, a partir de 31.08.2034.</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Animais potencialmente perigosos</w:t>
            </w:r>
          </w:p>
        </w:tc>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Reprodução e criação de animais potencialmente perigosos, independentemente da escala</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Permissão administrativa</w:t>
            </w:r>
          </w:p>
        </w:tc>
        <w:tc>
          <w:tcPr>
            <w:tcW w:type="dxa" w:w="300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Requisitos específicos de segurança, reprodução, registo e comércio.</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O número de identificação e a publicitação do criador não são privativos do escalão superior. Resultam hoje dos n.os 11 e 12 do artigo 3.º do Decreto-Lei n.º 276/2001 e abrangem todos os criadores registados. A lista pública prevista no n.º 3 do artigo 10.º do Regulamento é adicional e específica dos estabelecimentos aprovados, e não substitui aquela.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7.2  </w:t>
      </w:r>
      <w:r>
        <w:rPr>
          <w:rFonts w:ascii="Aptos" w:hAnsi="Aptos" w:cs="Aptos" w:eastAsia="Aptos"/>
          <w:b/>
          <w:i w:val="0"/>
          <w:color w:val="35506B"/>
          <w:sz w:val="21"/>
        </w:rPr>
        <w:t>Núcleo não dispensável</w:t>
      </w:r>
    </w:p>
    <w:p>
      <w:pPr>
        <w:spacing w:before="0" w:after="140" w:line="293" w:lineRule="auto"/>
        <w:jc w:val="both"/>
      </w:pPr>
      <w:r>
        <w:rPr>
          <w:rFonts w:ascii="Aptos" w:hAnsi="Aptos" w:cs="Aptos" w:eastAsia="Aptos"/>
          <w:b w:val="0"/>
          <w:i w:val="0"/>
          <w:color w:val="2B2B2B"/>
          <w:sz w:val="20"/>
        </w:rPr>
        <w:t>Qualquer modulação por escala deve deixar intacto o conjunto seguinte, que é o que assegura a identificação do responsável, a rastreabilidade do animal e a possibilidade de controlo.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Título de acesso, número de identificação e publicitação do criador.</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Declaração da capacidade máxima, das espécies e raças, do número de fêmeas reprodutoras e do número estimado de ninhadas a colocar no mercado por ano.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Indicação do médico veterinário responsável e exercício efetivo das competências do n.º 2 do artigo 4.º do Decreto-Lei n.º 276/2001.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Identificação individual das crias até aos três meses e sempre antes da colocação no mercado, com registo em nome do operador e atualização na transmissão.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Registo de nascimentos, mortes, entradas, saídas, origem e destino dos animais.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Observância dos limites reprodutivos do ponto 3 do anexo I do Regulamento e das proibições do artigo 8.º.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Alimentação, água, higiene, saúde, exercício e socialização adequados.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Informação escrita ao adquirente, incluindo historial clínico e sanitário.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Elementos de verificação nos anúncios em linha.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Acesso das autoridades para controlo e sujeição a medidas corretivas.</w:t>
      </w:r>
    </w:p>
    <w:p>
      <w:pPr>
        <w:keepNext/>
        <w:spacing w:before="260" w:after="80" w:line="293" w:lineRule="auto"/>
      </w:pPr>
      <w:r>
        <w:rPr>
          <w:rFonts w:ascii="Aptos" w:hAnsi="Aptos" w:cs="Aptos" w:eastAsia="Aptos"/>
          <w:b/>
          <w:i w:val="0"/>
          <w:color w:val="7C8894"/>
          <w:sz w:val="21"/>
        </w:rPr>
        <w:t xml:space="preserve">7.3  </w:t>
      </w:r>
      <w:r>
        <w:rPr>
          <w:rFonts w:ascii="Aptos" w:hAnsi="Aptos" w:cs="Aptos" w:eastAsia="Aptos"/>
          <w:b/>
          <w:i w:val="0"/>
          <w:color w:val="35506B"/>
          <w:sz w:val="21"/>
        </w:rPr>
        <w:t>Margem de simplificação</w:t>
      </w:r>
    </w:p>
    <w:p>
      <w:pPr>
        <w:spacing w:before="0" w:after="140" w:line="293" w:lineRule="auto"/>
        <w:jc w:val="both"/>
      </w:pPr>
      <w:r>
        <w:rPr>
          <w:rFonts w:ascii="Aptos" w:hAnsi="Aptos" w:cs="Aptos" w:eastAsia="Aptos"/>
          <w:b w:val="0"/>
          <w:i w:val="0"/>
          <w:color w:val="2B2B2B"/>
          <w:sz w:val="20"/>
        </w:rPr>
        <w:t>A simplificação admissível incide sobre o modo de cumprimento dos requisitos estruturais, não sobre as obrigações materiais. Concretiza-se em equivalência funcional documentada, aferida em função do número, espécie, idade e condição dos animais. O critério de fronteira é verificável: uma solução é admissível se preservar a função sanitária ou comportamental que a exigência original visa, e não o é se a suprimir.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Exigência</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Equivalência admissível</w:t>
            </w:r>
          </w:p>
        </w:tc>
        <w:tc>
          <w:tcPr>
            <w:tcW w:type="dxa" w:w="294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Instalação individualizada para armazenagem de alimentos e equipamento limpo (n.º 1 do artigo 25.º)</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Armazenamento protegido e separado em compartimento partilhado, com separação física e identificação</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Contacto entre alimento, material sujo e produtos de limpeza</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Instalação individualizada para lavagem e recolha de material (n.º 1 do artigo 25.º)</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Zona delimitada com ponto de água e protocolo de limpeza documentado</w:t>
            </w:r>
          </w:p>
        </w:tc>
        <w:tc>
          <w:tcPr>
            <w:tcW w:type="dxa" w:w="294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Ausência de ponto de água ou de separação face às áreas de alojamento</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Instalação individualizada para manuseamento de alimentos (n.º 2 do artigo 25.º)</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Superfície de uso multifuncional em momentos distintos, com protocolo de higienização registado</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Uso simultâneo ou sem protocolo verificável</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Enfermaria e quarentena (n.º 2 do artigo 25.º)</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Compartimento único com capacidade de isolamento efetivo, quando o número de animais o permita</w:t>
            </w:r>
          </w:p>
        </w:tc>
        <w:tc>
          <w:tcPr>
            <w:tcW w:type="dxa" w:w="294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Impossibilidade de isolar um animal doente ou recém-chegado</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Maternidade e criação até à idade adulta (n.º 2 do artigo 25.º)</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Área dedicada dentro do espaço doméstico, com possibilidade de a mãe se afastar das crias</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Ausência de área reservada ou de refúgio para a fêmea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Não é admissível equivalência que reduza o espaço disponível, comprometa o isolamento sanitário, impeça o exercício e a socialização, dificulte a inspeção dos animais ou fragilize a rastreabilidade. A proporcionalidade aplica-se à forma, nunca ao conteúdo da obrigação.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Elementos de suporte à audição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Reúnem-se as questões previsivelmente suscitadas, a resposta correspondente e a norma que a sustenta. As respostas remetem para os pontos anteriores, onde as citações constam na íntegra.</w:t>
      </w:r>
    </w:p>
    <w:p>
      <w:pPr>
        <w:keepNext/>
        <w:spacing w:before="180" w:after="60" w:line="293" w:lineRule="auto"/>
      </w:pPr>
      <w:r>
        <w:rPr>
          <w:rFonts w:ascii="Aptos" w:hAnsi="Aptos" w:cs="Aptos" w:eastAsia="Aptos"/>
          <w:b/>
          <w:i w:val="0"/>
          <w:color w:val="35506B"/>
          <w:sz w:val="19"/>
        </w:rPr>
        <w:t>Está prevista a criação de uma figura de criador informal?</w:t>
      </w:r>
    </w:p>
    <w:p>
      <w:pPr>
        <w:spacing w:before="0" w:after="60" w:line="293" w:lineRule="auto"/>
        <w:jc w:val="both"/>
      </w:pPr>
      <w:r>
        <w:rPr>
          <w:rFonts w:ascii="Aptos" w:hAnsi="Aptos" w:cs="Aptos" w:eastAsia="Aptos"/>
          <w:b w:val="0"/>
          <w:i w:val="0"/>
          <w:color w:val="2B2B2B"/>
          <w:sz w:val="19"/>
        </w:rPr>
        <w:t>Não. Nem o direito vigente, nem o Regulamento, nem o projeto de regime preveem o exercício da atividade de criação sem título de acesso junto da autoridade competente. O projeto mantém os dois títulos existentes, a mera comunicação prévia e a permissão administrativa, e alarga o segundo aos estabelecimentos que ultrapassem os limiares europeus.</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3.º do Decreto-Lei n.º 276/2001; artigo 45.º do projeto; artigos 9.º e 10.º do Regulamento</w:t>
      </w:r>
    </w:p>
    <w:p>
      <w:pPr>
        <w:keepNext/>
        <w:spacing w:before="180" w:after="60" w:line="293" w:lineRule="auto"/>
      </w:pPr>
      <w:r>
        <w:rPr>
          <w:rFonts w:ascii="Aptos" w:hAnsi="Aptos" w:cs="Aptos" w:eastAsia="Aptos"/>
          <w:b/>
          <w:i w:val="0"/>
          <w:color w:val="35506B"/>
          <w:sz w:val="19"/>
        </w:rPr>
        <w:t>Que matéria foi então efetivamente ponderada?</w:t>
      </w:r>
    </w:p>
    <w:p>
      <w:pPr>
        <w:spacing w:before="0" w:after="60" w:line="293" w:lineRule="auto"/>
        <w:jc w:val="both"/>
      </w:pPr>
      <w:r>
        <w:rPr>
          <w:rFonts w:ascii="Aptos" w:hAnsi="Aptos" w:cs="Aptos" w:eastAsia="Aptos"/>
          <w:b w:val="0"/>
          <w:i w:val="0"/>
          <w:color w:val="2B2B2B"/>
          <w:sz w:val="19"/>
        </w:rPr>
        <w:t>A adequação à escala dos requisitos de instalações individualizadas exigidos pelos n.os 1 e 2 do artigo 25.º do Decreto-Lei n.º 276/2001, concebidos para alojamentos de dimensão significativa. A ponderação decorreu em sede de grupo de trabalho técnico e não consta da versão do projeto remetida à tutela. Não incidiu sobre registo, identificação, rastreabilidade ou controlo reprodutivo.</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N.os 1 e 2 do artigo 25.º do Decreto-Lei n.º 276/2001</w:t>
      </w:r>
    </w:p>
    <w:p>
      <w:pPr>
        <w:keepNext/>
        <w:spacing w:before="180" w:after="60" w:line="293" w:lineRule="auto"/>
      </w:pPr>
      <w:r>
        <w:rPr>
          <w:rFonts w:ascii="Aptos" w:hAnsi="Aptos" w:cs="Aptos" w:eastAsia="Aptos"/>
          <w:b/>
          <w:i w:val="0"/>
          <w:color w:val="35506B"/>
          <w:sz w:val="19"/>
        </w:rPr>
        <w:t>Uma solução proporcional é compatível com o direito da União?</w:t>
      </w:r>
    </w:p>
    <w:p>
      <w:pPr>
        <w:spacing w:before="0" w:after="60" w:line="293" w:lineRule="auto"/>
        <w:jc w:val="both"/>
      </w:pPr>
      <w:r>
        <w:rPr>
          <w:rFonts w:ascii="Aptos" w:hAnsi="Aptos" w:cs="Aptos" w:eastAsia="Aptos"/>
          <w:b w:val="0"/>
          <w:i w:val="0"/>
          <w:color w:val="2B2B2B"/>
          <w:sz w:val="19"/>
        </w:rPr>
        <w:t>É. O artigo 5.º do Regulamento institui ele próprio um regime reduzido para os estabelecimentos até duas ninhadas por ano civil, dispensando-os, entre outras obrigações, do espaço disponível mínimo, da temperatura das áreas de parto, da iluminação e das especificações de socialização. A modulação por escala é opção do legislador europeu, não invenção nacional.</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N.º 1 do artigo 5.º do Regulamento</w:t>
      </w:r>
    </w:p>
    <w:p>
      <w:pPr>
        <w:keepNext/>
        <w:spacing w:before="180" w:after="60" w:line="293" w:lineRule="auto"/>
      </w:pPr>
      <w:r>
        <w:rPr>
          <w:rFonts w:ascii="Aptos" w:hAnsi="Aptos" w:cs="Aptos" w:eastAsia="Aptos"/>
          <w:b/>
          <w:i w:val="0"/>
          <w:color w:val="35506B"/>
          <w:sz w:val="19"/>
        </w:rPr>
        <w:t>O regime nacional em preparação é mais permissivo do que o europeu?</w:t>
      </w:r>
    </w:p>
    <w:p>
      <w:pPr>
        <w:spacing w:before="0" w:after="60" w:line="293" w:lineRule="auto"/>
        <w:jc w:val="both"/>
      </w:pPr>
      <w:r>
        <w:rPr>
          <w:rFonts w:ascii="Aptos" w:hAnsi="Aptos" w:cs="Aptos" w:eastAsia="Aptos"/>
          <w:b w:val="0"/>
          <w:i w:val="0"/>
          <w:color w:val="2B2B2B"/>
          <w:sz w:val="19"/>
        </w:rPr>
        <w:t>É mais exigente. O projeto não acolhe a redução do artigo 5.º e aplica a totalidade das obrigações a todos os estabelecimentos de criação. Mesmo a ponderação técnica mais permissiva que chegou a ser equacionada quanto a instalações permanece acima da linha de base europeia. A opção deve ser comunicada à Comissão até 31 de agosto de 2028.</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30.º do Regulamento</w:t>
      </w:r>
    </w:p>
    <w:p>
      <w:pPr>
        <w:keepNext/>
        <w:spacing w:before="180" w:after="60" w:line="293" w:lineRule="auto"/>
      </w:pPr>
      <w:r>
        <w:rPr>
          <w:rFonts w:ascii="Aptos" w:hAnsi="Aptos" w:cs="Aptos" w:eastAsia="Aptos"/>
          <w:b/>
          <w:i w:val="0"/>
          <w:color w:val="35506B"/>
          <w:sz w:val="19"/>
        </w:rPr>
        <w:t>A medida reduz a fiscalização?</w:t>
      </w:r>
    </w:p>
    <w:p>
      <w:pPr>
        <w:spacing w:before="0" w:after="60" w:line="293" w:lineRule="auto"/>
        <w:jc w:val="both"/>
      </w:pPr>
      <w:r>
        <w:rPr>
          <w:rFonts w:ascii="Aptos" w:hAnsi="Aptos" w:cs="Aptos" w:eastAsia="Aptos"/>
          <w:b w:val="0"/>
          <w:i w:val="0"/>
          <w:color w:val="2B2B2B"/>
          <w:sz w:val="19"/>
        </w:rPr>
        <w:t>Não altera os poderes nem os deveres de controlo. Os controlos oficiais regem-se pelo Regulamento (UE) 2017/625 e assentam em análise de risco, independentemente da dimensão do estabelecimento. Acima dos limiares, o Regulamento acrescenta inspeção prévia ao local como condição de aprovação, exigência que o direito nacional vigente não contém.</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N.º 2 do artigo 10.º do Regulamento</w:t>
      </w:r>
    </w:p>
    <w:p>
      <w:pPr>
        <w:keepNext/>
        <w:spacing w:before="180" w:after="60" w:line="293" w:lineRule="auto"/>
      </w:pPr>
      <w:r>
        <w:rPr>
          <w:rFonts w:ascii="Aptos" w:hAnsi="Aptos" w:cs="Aptos" w:eastAsia="Aptos"/>
          <w:b/>
          <w:i w:val="0"/>
          <w:color w:val="35506B"/>
          <w:sz w:val="19"/>
        </w:rPr>
        <w:t>A medida facilita o comércio ilegal?</w:t>
      </w:r>
    </w:p>
    <w:p>
      <w:pPr>
        <w:spacing w:before="0" w:after="60" w:line="293" w:lineRule="auto"/>
        <w:jc w:val="both"/>
      </w:pPr>
      <w:r>
        <w:rPr>
          <w:rFonts w:ascii="Aptos" w:hAnsi="Aptos" w:cs="Aptos" w:eastAsia="Aptos"/>
          <w:b w:val="0"/>
          <w:i w:val="0"/>
          <w:color w:val="2B2B2B"/>
          <w:sz w:val="19"/>
        </w:rPr>
        <w:t>As obrigações de identificação e registo dos animais e os requisitos da publicidade em linha integram o Capítulo III do Regulamento. O artigo 5.º dispõe apenas sobre o Capítulo II e não lhes é aplicável. A identificação individual abrange todos os cães e gatos, incluindo os detidos por particulares. Nenhuma redução por escala atinge a rastreabilidade.</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Epígrafe do artigo 5.º; n.º 1 do artigo 20.º; artigo 21.º do Regulamento</w:t>
      </w:r>
    </w:p>
    <w:p>
      <w:pPr>
        <w:keepNext/>
        <w:spacing w:before="180" w:after="60" w:line="293" w:lineRule="auto"/>
      </w:pPr>
      <w:r>
        <w:rPr>
          <w:rFonts w:ascii="Aptos" w:hAnsi="Aptos" w:cs="Aptos" w:eastAsia="Aptos"/>
          <w:b/>
          <w:i w:val="0"/>
          <w:color w:val="35506B"/>
          <w:sz w:val="19"/>
        </w:rPr>
        <w:t>Um caso recente envolvendo um estabelecimento registado com várias centenas de animais não demonstra a insuficiência do registo?</w:t>
      </w:r>
    </w:p>
    <w:p>
      <w:pPr>
        <w:spacing w:before="0" w:after="60" w:line="293" w:lineRule="auto"/>
        <w:jc w:val="both"/>
      </w:pPr>
      <w:r>
        <w:rPr>
          <w:rFonts w:ascii="Aptos" w:hAnsi="Aptos" w:cs="Aptos" w:eastAsia="Aptos"/>
          <w:b w:val="0"/>
          <w:i w:val="0"/>
          <w:color w:val="2B2B2B"/>
          <w:sz w:val="19"/>
        </w:rPr>
        <w:t>Demonstra insuficiência de controlo, não excesso de proporcionalidade. Um estabelecimento dessa dimensão situa-se muito acima dos limiares do artigo 10.º e integra o escalão sujeito a aprovação com inspeção prévia ao local. Nada tem em comum com a criação em pequena escala, que é o objeto da ponderação em causa. O caso reforça a necessidade de capacidade inspetiva e de cruzamento de dados, e é precisamente isso que o registo universal das ninhadas e a ficha de verificação dos anúncios visam servir.</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N.os 1 e 2 do artigo 10.º do Regulamento</w:t>
      </w:r>
    </w:p>
    <w:p>
      <w:pPr>
        <w:keepNext/>
        <w:spacing w:before="180" w:after="60" w:line="293" w:lineRule="auto"/>
      </w:pPr>
      <w:r>
        <w:rPr>
          <w:rFonts w:ascii="Aptos" w:hAnsi="Aptos" w:cs="Aptos" w:eastAsia="Aptos"/>
          <w:b/>
          <w:i w:val="0"/>
          <w:color w:val="35506B"/>
          <w:sz w:val="19"/>
        </w:rPr>
        <w:t>Quem cria sem fins lucrativos fica de fora?</w:t>
      </w:r>
    </w:p>
    <w:p>
      <w:pPr>
        <w:spacing w:before="0" w:after="60" w:line="293" w:lineRule="auto"/>
        <w:jc w:val="both"/>
      </w:pPr>
      <w:r>
        <w:rPr>
          <w:rFonts w:ascii="Aptos" w:hAnsi="Aptos" w:cs="Aptos" w:eastAsia="Aptos"/>
          <w:b w:val="0"/>
          <w:i w:val="0"/>
          <w:color w:val="2B2B2B"/>
          <w:sz w:val="19"/>
        </w:rPr>
        <w:t>Fica, no regime vigente, por efeito da definição de hospedagem com fins lucrativos. É lacuna identificada e o projeto destina-se a fechá-la, abandonando o critério do fim lucrativo. O Regulamento segue o mesmo sentido: sujeita quem coloca no mercado, a título oneroso ou gratuito.</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Al. q) do artigo 2.º do Decreto-Lei n.º 276/2001; artigo 4.º do Regulamento</w:t>
      </w:r>
    </w:p>
    <w:p>
      <w:pPr>
        <w:keepNext/>
        <w:spacing w:before="180" w:after="60" w:line="293" w:lineRule="auto"/>
      </w:pPr>
      <w:r>
        <w:rPr>
          <w:rFonts w:ascii="Aptos" w:hAnsi="Aptos" w:cs="Aptos" w:eastAsia="Aptos"/>
          <w:b/>
          <w:i w:val="0"/>
          <w:color w:val="35506B"/>
          <w:sz w:val="19"/>
        </w:rPr>
        <w:t>Subsiste alguma margem de informalidade?</w:t>
      </w:r>
    </w:p>
    <w:p>
      <w:pPr>
        <w:spacing w:before="0" w:after="60" w:line="293" w:lineRule="auto"/>
        <w:jc w:val="both"/>
      </w:pPr>
      <w:r>
        <w:rPr>
          <w:rFonts w:ascii="Aptos" w:hAnsi="Aptos" w:cs="Aptos" w:eastAsia="Aptos"/>
          <w:b w:val="0"/>
          <w:i w:val="0"/>
          <w:color w:val="2B2B2B"/>
          <w:sz w:val="19"/>
        </w:rPr>
        <w:t>Uma, e resulta do texto europeu: a exceção das doações ocasionais a intervalos irregulares por pessoas singulares que não sejam operadores, sem publicidade em linha, que ficam fora do conceito de colocação no mercado e, por essa via, do Capítulo II. Mesmo nesse caso subsiste a obrigação de identificar e registar o animal. Está em apreciação se a legislação nacional deve fechar essa margem, ao abrigo do artigo 30.º.</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4.º e n.º 1 do artigo 20.º do Regulamento</w:t>
      </w:r>
    </w:p>
    <w:p>
      <w:pPr>
        <w:keepNext/>
        <w:spacing w:before="180" w:after="60" w:line="293" w:lineRule="auto"/>
      </w:pPr>
      <w:r>
        <w:rPr>
          <w:rFonts w:ascii="Aptos" w:hAnsi="Aptos" w:cs="Aptos" w:eastAsia="Aptos"/>
          <w:b/>
          <w:i w:val="0"/>
          <w:color w:val="35506B"/>
          <w:sz w:val="19"/>
        </w:rPr>
        <w:t>A partir de quando se aplica o novo regime?</w:t>
      </w:r>
    </w:p>
    <w:p>
      <w:pPr>
        <w:spacing w:before="0" w:after="60" w:line="293" w:lineRule="auto"/>
        <w:jc w:val="both"/>
      </w:pPr>
      <w:r>
        <w:rPr>
          <w:rFonts w:ascii="Aptos" w:hAnsi="Aptos" w:cs="Aptos" w:eastAsia="Aptos"/>
          <w:b w:val="0"/>
          <w:i w:val="0"/>
          <w:color w:val="2B2B2B"/>
          <w:sz w:val="19"/>
        </w:rPr>
        <w:t>O Regulamento é aplicável, em regra, a partir de 31 de agosto de 2028. A identificação dos animais e a notificação dos estabelecimentos aplicam-se nessa data. As exigências de alojamento, incluindo o espaço disponível mínimo, apenas a partir de 31 de agosto de 2031. A aprovação dos estabelecimentos acima dos limiares apenas a partir de 31 de agosto de 2034.</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33.º do Regulamento</w:t>
      </w:r>
    </w:p>
    <w:p>
      <w:pPr>
        <w:keepNext/>
        <w:spacing w:before="180" w:after="60" w:line="293" w:lineRule="auto"/>
      </w:pPr>
      <w:r>
        <w:rPr>
          <w:rFonts w:ascii="Aptos" w:hAnsi="Aptos" w:cs="Aptos" w:eastAsia="Aptos"/>
          <w:b/>
          <w:i w:val="0"/>
          <w:color w:val="35506B"/>
          <w:sz w:val="19"/>
        </w:rPr>
        <w:t>Os limites de animais por fogo não resolvem a questão da dimensão?</w:t>
      </w:r>
    </w:p>
    <w:p>
      <w:pPr>
        <w:spacing w:before="0" w:after="60" w:line="293" w:lineRule="auto"/>
        <w:jc w:val="both"/>
      </w:pPr>
      <w:r>
        <w:rPr>
          <w:rFonts w:ascii="Aptos" w:hAnsi="Aptos" w:cs="Aptos" w:eastAsia="Aptos"/>
          <w:b w:val="0"/>
          <w:i w:val="0"/>
          <w:color w:val="2B2B2B"/>
          <w:sz w:val="19"/>
        </w:rPr>
        <w:t>São norma de detenção doméstica, inserida na legislação de luta contra a raiva, e não fixam a capacidade dos estabelecimentos de criação. A capacidade é declarada na mera comunicação prévia e aferida pelos parâmetros do anexo I do Decreto-Lei n.º 276/2001. Os fundamentos constam do ponto 4.3 e do anexo autónomo.</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3.º do Decreto-Lei n.º 314/2003; n.º 6 do artigo 25.º do Decreto-Lei n.º 276/2001</w:t>
      </w: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Referências</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276/2001, de 17 de outubro, na redação atual.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314/2003, de 17 de dezembro, na redação atual.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315/2003, de 17 de dezembro.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Regulamento (UE) 2026/1818 do Parlamento Europeu e do Conselho, de 17 de junho de 2026, relativo ao bem-estar dos cães e dos gatos e à respetiva rastreabilidade (JO L, 2026/1818, de 10.8.2026).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Regulamento (UE) 2016/429 do Parlamento Europeu e do Conselho, de 9 de março de 2016.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Regulamento (UE) 2017/625 do Parlamento Europeu e do Conselho, de 15 de março de 2017.</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Projeto de Regime Geral do Animal de Companhia, 1.ª revisão formal da DAJA, versão de trabalho de junho de 2026.</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w:t>
      </w:r>
      <w:r>
        <w:rPr>
          <w:rFonts w:ascii="Aptos" w:hAnsi="Aptos" w:cs="Aptos" w:eastAsia="Aptos"/>
          <w:b/>
          <w:i w:val="0"/>
          <w:color w:val="35506B"/>
          <w:sz w:val="27"/>
        </w:rPr>
        <w:t>Quadro de concordâncias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Referência completa de cada citação transcrita no corpo do memorando, pela ordem em que ocorre.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2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11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566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Referência</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aa) do artigo 2.º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C2</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artigo 3.º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C3</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11 e 12 do artigo 3.º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C4</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artigo 2.º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C5</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artigo 4.º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C6</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artigo 5.º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C7</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 e 2 do artigo 25.º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C8</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5 e 6 do artigo 25.º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C9</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 2 e 4 do artigo 3.º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C10</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artigo 5.º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C11</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Regulamento (UE) 2026/1818</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4.º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C12</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Regulamento (UE) 2026/1818</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artigo 5.º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C13</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Regulamento (UE) 2026/1818</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 e 2 do artigo 20.º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C14</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Regulamento (UE) 2026/1818</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artigo 9.º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C15</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Regulamento (UE) 2026/1818</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 e 2 do artigo 10.º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C16</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Projeto de RGAC</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artigo 45.º do projeto de RGAC, 1.ª revisão formal da DAJA, versão de trabalho de junho de 2026</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C17</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Regulamento (UE) 2026/1818</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 e 2 do artigo 30.º</w:t>
            </w:r>
          </w:p>
        </w:tc>
      </w:tr>
    </w:tbl>
    <w:p>
      <w:pPr>
        <w:spacing w:before="4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Criação de cães e gatos em pequena escala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