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1.31</w:t>
            </w:r>
          </w:p>
        </w:tc>
      </w:tr>
      <w:tr>
        <w:tc>
          <w:tcPr>
            <w:tcW w:w="2551" w:type="dxa"/>
          </w:tcPr>
          <w:p>
            <w:pPr>
              <w:spacing w:after="60"/>
            </w:pPr>
            <w:r/>
            <w:r>
              <w:rPr>
                <w:b/>
                <w:sz w:val="20"/>
              </w:rPr>
              <w:t>Data</w:t>
            </w:r>
          </w:p>
        </w:tc>
        <w:tc>
          <w:tcPr>
            <w:tcW w:w="6520" w:type="dxa"/>
          </w:tcPr>
          <w:p>
            <w:pPr>
              <w:spacing w:after="60"/>
            </w:pPr>
            <w:r/>
            <w:r>
              <w:rPr>
                <w:b w:val="0"/>
                <w:sz w:val="20"/>
              </w:rPr>
              <w:t>22.10.2026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P-49.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52 fichas, das quais 48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61</w:t>
            </w:r>
          </w:p>
        </w:tc>
        <w:tc>
          <w:tcPr>
            <w:tcW w:w="1701" w:type="dxa"/>
          </w:tcPr>
          <w:p>
            <w:pPr>
              <w:spacing w:after="60"/>
            </w:pPr>
            <w:r/>
            <w:r>
              <w:rPr>
                <w:b/>
                <w:sz w:val="20"/>
              </w:rPr>
              <w:t>92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(21)</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(11)</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P-49. Duas vias para retirar a classificação de perigoso, sem ligação entre elas (art. 120.º,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(6)</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(9)</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(5)</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(1)</w:t>
      </w:r>
    </w:p>
    <w:p>
      <w:pPr>
        <w:spacing w:after="20"/>
        <w:ind w:left="454"/>
      </w:pPr>
      <w:r>
        <w:rPr>
          <w:b w:val="0"/>
          <w:i w:val="0"/>
        </w:rPr>
        <w:t>P-49. Duas vias para retirar a classificação de perigoso, sem ligação entre elas (art. 120.º,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1.31.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