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1.25</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Esse artigo não existe. Não se diz para onde vão os animais, quem decide o destino, quem suporta a guarda, nem como se articula com a apreensão penal (CPP, arts. 178.º e 186.º) e com a apreensão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com registo no SIAC e impedimento de nova comunicação prévia ou permissão administrativa durante o período da interdição.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p>
      <w:r>
        <w:rPr>
          <w:b w:val="0"/>
          <w:i w:val="0"/>
        </w:rPr>
        <w:t>Total: 20 lapsos, dos quais 20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56</w:t>
            </w:r>
          </w:p>
        </w:tc>
        <w:tc>
          <w:tcPr>
            <w:tcW w:w="1701" w:type="dxa"/>
          </w:tcPr>
          <w:p>
            <w:pPr>
              <w:spacing w:after="60"/>
            </w:pPr>
            <w:r/>
            <w:r>
              <w:rPr>
                <w:b/>
                <w:sz w:val="20"/>
              </w:rPr>
              <w:t>97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