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F3A5F"/>
          <w:sz w:val="18"/>
        </w:rPr>
        <w:t>DIREÇÃO DE SERVIÇOS DE BEM-ESTAR ANIMAL</w:t>
      </w:r>
    </w:p>
    <w:p>
      <w:r>
        <w:rPr>
          <w:b w:val="0"/>
          <w:i w:val="0"/>
          <w:color w:val="555555"/>
          <w:sz w:val="18"/>
        </w:rPr>
        <w:t>Divisão de Bem-Estar dos Animais para Fins Experimentais, Companhia e Zoológicos</w:t>
      </w:r>
    </w:p>
    <w:p/>
    <w:p>
      <w:r>
        <w:rPr>
          <w:b/>
          <w:i w:val="0"/>
          <w:color w:val="1F3A5F"/>
          <w:sz w:val="32"/>
        </w:rPr>
        <w:t>INFORMAÇÃO / PROPOSTA DE RESPOSTA</w:t>
      </w:r>
    </w:p>
    <w:p>
      <w:r>
        <w:rPr>
          <w:b/>
          <w:i w:val="0"/>
          <w:sz w:val="24"/>
        </w:rPr>
        <w:t>Criação e venda de hamsters sírios (Mesocricetus auratus) em pequena escala — enquadramento legal, divergência entre as informações prestadas pelo ICNF e pela DGAV e proposta de atuação</w:t>
      </w:r>
    </w:p>
    <w:p>
      <w:r>
        <w:rPr>
          <w:b w:val="0"/>
          <w:i w:val="0"/>
          <w:color w:val="555555"/>
          <w:sz w:val="18"/>
        </w:rPr>
        <w:t>Pedido: e-mail de Ana Filipa Santos (Porto), de 10.9.2026 — reencaminhado pela DSPA/DESA em 16.9.2026 e distribuído pela Chefe de Divisão em 16.9.2026 para análise e preparação de resposta.</w:t>
      </w:r>
    </w:p>
    <w:p>
      <w:r>
        <w:rPr>
          <w:b w:val="0"/>
          <w:i w:val="0"/>
          <w:color w:val="555555"/>
          <w:sz w:val="18"/>
        </w:rPr>
        <w:t>Data da informação: 27.9.2026</w:t>
      </w:r>
    </w:p>
    <w:p>
      <w:pPr>
        <w:pStyle w:val="Heading1"/>
      </w:pPr>
      <w:r>
        <w:rPr>
          <w:color w:val="1F3A5F"/>
        </w:rPr>
        <w:t>1. Síntese</w:t>
      </w:r>
    </w:p>
    <w:tbl>
      <w:tblPr>
        <w:tblStyle w:val="TableGrid"/>
        <w:tblW w:type="auto" w:w="0"/>
        <w:tblLook w:firstColumn="1" w:firstRow="1" w:lastColumn="0" w:lastRow="0" w:noHBand="0" w:noVBand="1" w:val="04A0"/>
      </w:tblPr>
      <w:tblGrid>
        <w:gridCol w:w="3249"/>
        <w:gridCol w:w="3249"/>
        <w:gridCol w:w="3249"/>
      </w:tblGrid>
      <w:tr>
        <w:tc>
          <w:tcPr>
            <w:tcW w:type="dxa" w:w="2381"/>
            <w:shd w:val="clear" w:color="auto" w:fill="1F3A5F"/>
          </w:tcPr>
          <w:p>
            <w:r>
              <w:rPr>
                <w:b/>
                <w:color w:val="FFFFFF"/>
                <w:sz w:val="18"/>
              </w:rPr>
              <w:t>Questão</w:t>
            </w:r>
          </w:p>
        </w:tc>
        <w:tc>
          <w:tcPr>
            <w:tcW w:type="dxa" w:w="4139"/>
            <w:shd w:val="clear" w:color="auto" w:fill="1F3A5F"/>
          </w:tcPr>
          <w:p>
            <w:r>
              <w:rPr>
                <w:b/>
                <w:color w:val="FFFFFF"/>
                <w:sz w:val="18"/>
              </w:rPr>
              <w:t>Resposta curta</w:t>
            </w:r>
          </w:p>
        </w:tc>
        <w:tc>
          <w:tcPr>
            <w:tcW w:type="dxa" w:w="3118"/>
            <w:shd w:val="clear" w:color="auto" w:fill="1F3A5F"/>
          </w:tcPr>
          <w:p>
            <w:r>
              <w:rPr>
                <w:b/>
                <w:color w:val="FFFFFF"/>
                <w:sz w:val="18"/>
              </w:rPr>
              <w:t>Base legal</w:t>
            </w:r>
          </w:p>
        </w:tc>
      </w:tr>
      <w:tr>
        <w:tc>
          <w:tcPr>
            <w:tcW w:type="dxa" w:w="2381"/>
          </w:tcPr>
          <w:p>
            <w:r>
              <w:rPr>
                <w:sz w:val="18"/>
              </w:rPr>
              <w:t>O hamster sírio é animal de companhia?</w:t>
            </w:r>
          </w:p>
        </w:tc>
        <w:tc>
          <w:tcPr>
            <w:tcW w:type="dxa" w:w="4139"/>
          </w:tcPr>
          <w:p>
            <w:r>
              <w:rPr>
                <w:sz w:val="18"/>
              </w:rPr>
              <w:t>Sim. Está abrangido pelo DL 276/2001, que tem até normas próprias para pequenos roedores.</w:t>
            </w:r>
          </w:p>
        </w:tc>
        <w:tc>
          <w:tcPr>
            <w:tcW w:type="dxa" w:w="3118"/>
          </w:tcPr>
          <w:p>
            <w:r>
              <w:rPr>
                <w:sz w:val="18"/>
              </w:rPr>
              <w:t>Al. a) do n.º 1 do art.º 2.º e art.º 26.º do DL 276/2001; anexo I, parte B, do Reg. (UE) 2016/429</w:t>
            </w:r>
          </w:p>
        </w:tc>
      </w:tr>
      <w:tr>
        <w:tc>
          <w:tcPr>
            <w:tcW w:type="dxa" w:w="2381"/>
          </w:tcPr>
          <w:p>
            <w:r>
              <w:rPr>
                <w:sz w:val="18"/>
              </w:rPr>
              <w:t>É obrigatório o microchip e o registo no SIAC?</w:t>
            </w:r>
          </w:p>
        </w:tc>
        <w:tc>
          <w:tcPr>
            <w:tcW w:type="dxa" w:w="4139"/>
          </w:tcPr>
          <w:p>
            <w:r>
              <w:rPr>
                <w:sz w:val="18"/>
              </w:rPr>
              <w:t>Não. A obrigação abrange só cães, gatos e furões; para os roedores a identificação é facultativa.</w:t>
            </w:r>
          </w:p>
        </w:tc>
        <w:tc>
          <w:tcPr>
            <w:tcW w:type="dxa" w:w="3118"/>
          </w:tcPr>
          <w:p>
            <w:r>
              <w:rPr>
                <w:sz w:val="18"/>
              </w:rPr>
              <w:t>Art.º 2.º e n.º 1 do art.º 4.º do DL 82/2019</w:t>
            </w:r>
          </w:p>
        </w:tc>
      </w:tr>
      <w:tr>
        <w:tc>
          <w:tcPr>
            <w:tcW w:type="dxa" w:w="2381"/>
          </w:tcPr>
          <w:p>
            <w:r>
              <w:rPr>
                <w:sz w:val="18"/>
              </w:rPr>
              <w:t>É necessária licença do ICNF (espécies exóticas)?</w:t>
            </w:r>
          </w:p>
        </w:tc>
        <w:tc>
          <w:tcPr>
            <w:tcW w:type="dxa" w:w="4139"/>
          </w:tcPr>
          <w:p>
            <w:r>
              <w:rPr>
                <w:sz w:val="18"/>
              </w:rPr>
              <w:t>O ICNF informou a requerente de que não é. A matéria é da competência do ICNF. Ver ponto 4.2: convém obter confirmação escrita do ICNF.</w:t>
            </w:r>
          </w:p>
        </w:tc>
        <w:tc>
          <w:tcPr>
            <w:tcW w:type="dxa" w:w="3118"/>
          </w:tcPr>
          <w:p>
            <w:r>
              <w:rPr>
                <w:sz w:val="18"/>
              </w:rPr>
              <w:t>Art.º 5.º do DL 92/2019</w:t>
            </w:r>
          </w:p>
        </w:tc>
      </w:tr>
      <w:tr>
        <w:tc>
          <w:tcPr>
            <w:tcW w:type="dxa" w:w="2381"/>
          </w:tcPr>
          <w:p>
            <w:r>
              <w:rPr>
                <w:sz w:val="18"/>
              </w:rPr>
              <w:t>A atividade pretendida carece de algum procedimento?</w:t>
            </w:r>
          </w:p>
        </w:tc>
        <w:tc>
          <w:tcPr>
            <w:tcW w:type="dxa" w:w="4139"/>
          </w:tcPr>
          <w:p>
            <w:r>
              <w:rPr>
                <w:sz w:val="18"/>
              </w:rPr>
              <w:t>Sim. Ter fêmeas reprodutoras cujas crias se destinam a venda, ainda que por valor simbólico, é «criação comercial». Por isso, exige mera comunicação prévia à DGAV antes do início da atividade.</w:t>
            </w:r>
          </w:p>
        </w:tc>
        <w:tc>
          <w:tcPr>
            <w:tcW w:type="dxa" w:w="3118"/>
          </w:tcPr>
          <w:p>
            <w:r>
              <w:rPr>
                <w:sz w:val="18"/>
              </w:rPr>
              <w:t>Als. y) e aa) do n.º 1 do art.º 2.º; al. a) do n.º 1 do art.º 3.º; art.º 3.º-A do DL 276/2001</w:t>
            </w:r>
          </w:p>
        </w:tc>
      </w:tr>
      <w:tr>
        <w:tc>
          <w:tcPr>
            <w:tcW w:type="dxa" w:w="2381"/>
          </w:tcPr>
          <w:p>
            <w:r>
              <w:rPr>
                <w:sz w:val="18"/>
              </w:rPr>
              <w:t>Que obrigações se aplicam à venda?</w:t>
            </w:r>
          </w:p>
        </w:tc>
        <w:tc>
          <w:tcPr>
            <w:tcW w:type="dxa" w:w="4139"/>
          </w:tcPr>
          <w:p>
            <w:r>
              <w:rPr>
                <w:sz w:val="18"/>
              </w:rPr>
              <w:t>Anúncio com os elementos legais, documentos na entrega, venda só no local de criação e declaração médico-veterinária.</w:t>
            </w:r>
          </w:p>
        </w:tc>
        <w:tc>
          <w:tcPr>
            <w:tcW w:type="dxa" w:w="3118"/>
          </w:tcPr>
          <w:p>
            <w:r>
              <w:rPr>
                <w:sz w:val="18"/>
              </w:rPr>
              <w:t>Art.os 53.º, 53.º-A, 54.º e 57.º do DL 276/2001</w:t>
            </w:r>
          </w:p>
        </w:tc>
      </w:tr>
      <w:tr>
        <w:tc>
          <w:tcPr>
            <w:tcW w:type="dxa" w:w="2381"/>
          </w:tcPr>
          <w:p>
            <w:r>
              <w:rPr>
                <w:sz w:val="18"/>
              </w:rPr>
              <w:t>O Regulamento (UE) 2026/1818 aplica-se?</w:t>
            </w:r>
          </w:p>
        </w:tc>
        <w:tc>
          <w:tcPr>
            <w:tcW w:type="dxa" w:w="4139"/>
          </w:tcPr>
          <w:p>
            <w:r>
              <w:rPr>
                <w:sz w:val="18"/>
              </w:rPr>
              <w:t>Não. Aplica-se só a cães e gatos.</w:t>
            </w:r>
          </w:p>
        </w:tc>
        <w:tc>
          <w:tcPr>
            <w:tcW w:type="dxa" w:w="3118"/>
          </w:tcPr>
          <w:p>
            <w:r>
              <w:rPr>
                <w:sz w:val="18"/>
              </w:rPr>
              <w:t>Art.os 1.º e 2.º do Regulamento (UE) 2026/1818</w:t>
            </w:r>
          </w:p>
        </w:tc>
      </w:tr>
    </w:tbl>
    <w:p/>
    <w:p>
      <w:r>
        <w:rPr>
          <w:b/>
          <w:i w:val="0"/>
        </w:rPr>
        <w:t>Conclusão: a informação prestada pela DSPA («a legislação nacional não estabelece a obrigatoriedade de identificação eletrónica de Hamsters») está correta, mas é incompleta. Não refere que a atividade pretendida depende de mera comunicação prévia à DGAV, nem quais as regras de venda. A indicação do ICNF sobre a obrigatoriedade de registo no SIAC e de microchip não tem base legal. É provável que resulte de uma leitura literal da al. c) do n.º 1 do art.º 53.º do DL 276/2001 (ver ponto 4.3).</w:t>
      </w:r>
    </w:p>
    <w:p>
      <w:pPr>
        <w:pStyle w:val="Heading1"/>
      </w:pPr>
      <w:r>
        <w:rPr>
          <w:color w:val="1F3A5F"/>
        </w:rPr>
        <w:t>2. Factos</w:t>
      </w:r>
    </w:p>
    <w:p>
      <w:pPr>
        <w:pStyle w:val="ListBullet"/>
      </w:pPr>
      <w:r>
        <w:t>A requerente pretende criar hamsters sírios em casa, com 1 a 2 casais, 2 a 3 ninhadas por fêmea ao longo da vida e alojamento individual em terrários de 100×50×60 cm. As crias seriam vendidas «por valores relativamente simbólicos», para reinvestir nos cuidados dos animais.</w:t>
      </w:r>
    </w:p>
    <w:p>
      <w:pPr>
        <w:pStyle w:val="ListBullet"/>
      </w:pPr>
      <w:r>
        <w:t>O ICNF informou a requerente de que a detenção, criação e comercialização de hamster sírio não carece de licença de espécies exóticas ao abrigo do DL 92/2019. Informou também que a requerente «deve assegurar que os animais estão registados no SIAC e têm microchip».</w:t>
      </w:r>
    </w:p>
    <w:p>
      <w:pPr>
        <w:pStyle w:val="ListBullet"/>
      </w:pPr>
      <w:r>
        <w:t>A DSPA/DESA da DGAV informou que «a legislação nacional não estabelece a obrigatoriedade de identificação eletrónica de Hamsters».</w:t>
      </w:r>
    </w:p>
    <w:p>
      <w:pPr>
        <w:pStyle w:val="ListBullet"/>
      </w:pPr>
      <w:r>
        <w:t>A requerente manifesta preocupação com a dor que a aplicação de um microchip pode causar num animal tão pequeno.</w:t>
      </w:r>
    </w:p>
    <w:p>
      <w:pPr>
        <w:pStyle w:val="Heading1"/>
      </w:pPr>
      <w:r>
        <w:rPr>
          <w:color w:val="1F3A5F"/>
        </w:rPr>
        <w:t>3. Enquadramento legal (legislação vigente)</w:t>
      </w:r>
    </w:p>
    <w:p>
      <w:r>
        <w:rPr>
          <w:b w:val="0"/>
          <w:i/>
          <w:color w:val="555555"/>
          <w:sz w:val="18"/>
        </w:rPr>
        <w:t>Fontes: o DL 276/2001 foi confrontado com a versão consolidada em linha (PGDL). A última alteração é o DL n.º 9/2021, de 29 de janeiro, e o texto coincide com o ficheiro «10a DL 276_2001 – versão atualizada e consolidada» do repositório. O DL 82/2019 foi lido na redação dada pela Lei n.º 2/2020. O DL 92/2019 foi lido na redação dada pela Lei n.º 25/2023. O Regulamento (UE) 2026/1818 foi lido no texto publicado no JO (EN e PT).</w:t>
      </w:r>
    </w:p>
    <w:p>
      <w:pPr>
        <w:pStyle w:val="Heading2"/>
      </w:pPr>
      <w:r>
        <w:rPr>
          <w:color w:val="1F3A5F"/>
        </w:rPr>
        <w:t>3.1 Qualificação do hamster sírio como animal de companhia</w:t>
      </w:r>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al. a), do n.º 1, do art.º 2.º do Decreto-Lei n.º 276/2001</w:t>
            </w:r>
          </w:p>
          <w:p>
            <w:r>
              <w:rPr>
                <w:i/>
                <w:sz w:val="19"/>
              </w:rPr>
              <w:t>a) «Animal de companhia» qualquer animal detido ou destinado a ser detido pelo homem, designadamente no seu lar, para seu entretenimento e companhia;</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n.º 1, do art.º 26.º do Decreto-Lei n.º 276/2001 — Condições particulares para a manutenção de pequenos roedores e coelhos</w:t>
            </w:r>
          </w:p>
          <w:p>
            <w:r>
              <w:rPr>
                <w:i/>
                <w:sz w:val="19"/>
              </w:rPr>
              <w:t>1 - As caixas onde os animais são colocados devem estar providas com material de cama em quantidade suficiente, adaptada às espécies em causa, o qual deve ser renovado regularmente.</w:t>
            </w:r>
          </w:p>
          <w:p>
            <w:r>
              <w:rPr>
                <w:i/>
                <w:sz w:val="19"/>
              </w:rPr>
              <w:t>2 - As medidas das caixas para pequenos roedores e coelhos devem obedecer aos parâmetros mínimos adequados à espécie, nomeadamente os constantes do anexo ii do presente diploma, do qual faz parte integrante.</w:t>
            </w:r>
          </w:p>
          <w:p>
            <w:r>
              <w:rPr>
                <w:i/>
                <w:sz w:val="19"/>
              </w:rPr>
              <w:t>3 - Ao planear a criação e ou manutenção deverá ter-se em conta o crescimento potencial dos animais, a fim de lhes assegurar um espaço apropriado, em conformidade com as medidas das caixas previstas no anexo ii, durante todas as suas fases de desenvolvimento.</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Anexo I, parte B, do Regulamento (UE) 2016/429 (Lei da Saúde Animal)  [EN]</w:t>
            </w:r>
          </w:p>
          <w:p>
            <w:r>
              <w:rPr>
                <w:i/>
                <w:sz w:val="19"/>
              </w:rPr>
              <w:t>Mammals: rodents and rabbits other than those intended for food production</w:t>
            </w:r>
          </w:p>
        </w:tc>
      </w:tr>
    </w:tbl>
    <w:p/>
    <w:p>
      <w:r>
        <w:rPr>
          <w:b w:val="0"/>
          <w:i/>
          <w:color w:val="555555"/>
          <w:sz w:val="18"/>
        </w:rPr>
        <w:t>Tradução: «Mamíferos: roedores e coelhos, com exceção dos destinados à produção de alimentos». Nota: não foi possível obter o texto PT oficial no EUR-Lex (acesso bloqueado nesta sessão). Deve ser confirmado antes de citar em documento externo.</w:t>
      </w:r>
    </w:p>
    <w:p>
      <w:pPr>
        <w:pStyle w:val="Heading2"/>
      </w:pPr>
      <w:r>
        <w:rPr>
          <w:color w:val="1F3A5F"/>
        </w:rPr>
        <w:t>3.2 Identificação eletrónica e registo no SIAC</w:t>
      </w:r>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art.º 2.º do Decreto-Lei n.º 82/2019 — Âmbito de aplicação</w:t>
            </w:r>
          </w:p>
          <w:p>
            <w:r>
              <w:rPr>
                <w:i/>
                <w:sz w:val="19"/>
              </w:rPr>
              <w:t>O presente decreto-lei aplica-se à identificação de animais de companhia das espécies referidas no anexo I do Regulamento (UE) n.º 576/2013, do Parlamento Europeu e do Conselho, de 12 de junho de 2013, e no anexo I do Regulamento (UE) n.º 2016/429, do Parlamento Europeu e do Conselho, de 9 de março de 2016, nascidos ou presentes no território nacional.</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n.os 1 e 2, do art.º 4.º do Decreto-Lei n.º 82/2019 — Obrigação de identificação</w:t>
            </w:r>
          </w:p>
          <w:p>
            <w:r>
              <w:rPr>
                <w:i/>
                <w:sz w:val="19"/>
              </w:rPr>
              <w:t>1 - A identificação de animais de companhia é obrigatória para cães, gatos e furões, nos termos da parte A do anexo I do Regulamento (UE) n.º 576/2013, do Parlamento Europeu e do Conselho, de 12 de junho de 2013, e a parte A do anexo I do Regulamento (UE) n.º 2016/429, do Parlamento Europeu e do Conselho, de 9 de março de 2016, sendo facultativa para as espécies abrangidas na parte B do anexo I dos referidos Regulamentos.</w:t>
            </w:r>
          </w:p>
          <w:p>
            <w:r>
              <w:rPr>
                <w:i/>
                <w:sz w:val="19"/>
              </w:rPr>
              <w:t>2 - Por despacho do diretor-geral de Alimentação e Veterinária, pode ser determinada a obrigatoriedade de identificação, nos termos do presente decreto-lei, de qualquer das espécies referidas na parte B do anexo I dos Regulamentos mencionados no número anterior ou de outras espécies de animais detidos para fins de companhia, com fundamento na necessidade de implementar medidas de natureza sanitária para combate a surtos de doenças epizoóticas ou zoonoses.</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n.º 3, do art.º 5.º do Decreto-Lei n.º 82/2019</w:t>
            </w:r>
          </w:p>
          <w:p>
            <w:r>
              <w:rPr>
                <w:i/>
                <w:sz w:val="19"/>
              </w:rPr>
              <w:t>3 - Sem prejuízo dos números anteriores, e relativamente aos cães, gatos e furões que sejam cedidos e ou comercializados a partir de um criador ou de um estabelecimento autorizado para a detenção de animais de companhia, nomeadamente os centros de hospedagem com ou sem fins lucrativos e os centros de recolha oficiais, deve ser assegurada a sua marcação e registo no SIAC antes de abandonarem a instalação de nascimento ou de alojamento, independentemente da sua idade.</w:t>
            </w:r>
          </w:p>
        </w:tc>
      </w:tr>
    </w:tbl>
    <w:p/>
    <w:p>
      <w:r>
        <w:rPr>
          <w:b w:val="0"/>
          <w:i w:val="0"/>
        </w:rPr>
        <w:t>Os hamsters são roedores da parte B do anexo I do Regulamento (UE) 2016/429. Por isso, a sua identificação é facultativa. A obrigação de marcar as crias antes de saírem do criador (n.º 3 do art.º 5.º) também se limita a cães, gatos e furões. Só por despacho do Diretor-Geral, e com fundamento sanitário, poderia ser imposta a identificação de outras espécies (n.º 2 do art.º 4.º). Não se conhece despacho desse tipo para roedores, o que deve ser confirmado internamente pela DSPA.</w:t>
      </w:r>
    </w:p>
    <w:p>
      <w:pPr>
        <w:pStyle w:val="Heading2"/>
      </w:pPr>
      <w:r>
        <w:rPr>
          <w:color w:val="1F3A5F"/>
        </w:rPr>
        <w:t>3.3 Procedimento para o exercício da atividade</w:t>
      </w:r>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als. y), z) e aa), do n.º 1, do art.º 2.º do Decreto-Lei n.º 276/2001</w:t>
            </w:r>
          </w:p>
          <w:p>
            <w:r>
              <w:rPr>
                <w:i/>
                <w:sz w:val="19"/>
              </w:rPr>
              <w:t>y) 'Venda de animal de companhia', a transmissão a título oneroso de um animal de companhia;</w:t>
            </w:r>
          </w:p>
          <w:p>
            <w:r>
              <w:rPr>
                <w:i/>
                <w:sz w:val="19"/>
              </w:rPr>
              <w:t>z) 'Vendedor de animal de companhia', qualquer pessoa que, sendo ou não proprietário ou mero detentor eventual de fêmea reprodutora, exerce a atividade de venda de animais de companhia;</w:t>
            </w:r>
          </w:p>
          <w:p>
            <w:r>
              <w:rPr>
                <w:i/>
                <w:sz w:val="19"/>
              </w:rPr>
              <w:t>aa) 'Criação comercial de animais de companhia', a atividade que consiste em possuir uma ou mais fêmeas reprodutoras cujas crias sejam destinadas ao comércio;</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al. a), do n.º 1, e n.os 11 e 13, do art.º 3.º do Decreto-Lei n.º 276/2001</w:t>
            </w:r>
          </w:p>
          <w:p>
            <w:r>
              <w:rPr>
                <w:i/>
                <w:sz w:val="19"/>
              </w:rPr>
              <w:t>1 - Sem prejuízo do disposto no Decreto-Lei n.º 10/2015, de 16 de janeiro, quanto aos estabelecimentos de comércio a retalho de animais de companhia, o exercício da atividade de exploração de alojamentos, bem como a atividade de criação comercial de animais de companhia depende de:</w:t>
            </w:r>
          </w:p>
          <w:p>
            <w:r>
              <w:rPr>
                <w:i/>
                <w:sz w:val="19"/>
              </w:rPr>
              <w:t>a) Mera comunicação prévia, no caso dos centros de recolha, alojamentos para hospedagem, com ou sem fins lucrativos, criação comercial de animais de companhia, em qualquer caso com exceção dos destinados exclusivamente à venda, sem prejuízo do disposto na alínea seguinte;</w:t>
            </w:r>
          </w:p>
          <w:p>
            <w:r>
              <w:rPr>
                <w:i/>
                <w:sz w:val="19"/>
              </w:rPr>
              <w:t>[…]</w:t>
            </w:r>
          </w:p>
          <w:p>
            <w:r>
              <w:rPr>
                <w:i/>
                <w:sz w:val="19"/>
              </w:rPr>
              <w:t>11 - A comunicação prévia ou a permissão administrativa dão lugar a um número de identificação, o qual é pessoal e intransmissível.</w:t>
            </w:r>
          </w:p>
          <w:p>
            <w:r>
              <w:rPr>
                <w:i/>
                <w:sz w:val="19"/>
              </w:rPr>
              <w:t>13 - O disposto nos números anteriores não prejudica as obrigações devidas junto da Autoridade Tributária e Aduaneira.</w:t>
            </w:r>
          </w:p>
        </w:tc>
      </w:tr>
    </w:tbl>
    <w:p/>
    <w:p>
      <w:r>
        <w:rPr>
          <w:b w:val="0"/>
          <w:i w:val="0"/>
        </w:rPr>
        <w:t>A lei não fixa limiar mínimo: basta uma fêmea reprodutora cujas crias se destinem ao comércio. Também não distingue valores simbólicos, porque a venda é qualquer «transmissão a título oneroso». O projeto da requerente é, por isso, criação comercial e depende de mera comunicação prévia à DGAV. A comunicação é feita por via eletrónica, através do balcão único (ePortugal), com os elementos do n.º 1 do art.º 3.º-A. Entre eles estão o médico veterinário responsável (al. f)), a capacidade máxima e as espécies (al. h)) e a declaração de responsabilidade (al. j)). A falta de comunicação prévia é contraordenação económica grave (al. a) do n.º 1 do art.º 68.º).</w:t>
      </w:r>
    </w:p>
    <w:p>
      <w:r>
        <w:rPr>
          <w:b w:val="0"/>
          <w:i w:val="0"/>
        </w:rPr>
        <w:t>Da mera comunicação prévia decorrem, entre outras, as seguintes obrigações:</w:t>
      </w:r>
    </w:p>
    <w:p>
      <w:pPr>
        <w:pStyle w:val="ListBullet"/>
      </w:pPr>
      <w:r>
        <w:rPr>
          <w:b/>
        </w:rPr>
        <w:t xml:space="preserve">Art.º 4.º — </w:t>
      </w:r>
      <w:r>
        <w:t>ter um médico veterinário responsável pelo alojamento (art.º 4.º);</w:t>
      </w:r>
    </w:p>
    <w:p>
      <w:pPr>
        <w:pStyle w:val="ListBullet"/>
      </w:pPr>
      <w:r>
        <w:rPr>
          <w:b/>
        </w:rPr>
        <w:t xml:space="preserve">Art.º 5.º — </w:t>
      </w:r>
      <w:r>
        <w:t>manter registos durante 1 ano: identificação dos animais, número por espécie e movimento mensal de nascimentos, mortes, saídas e destino (art.º 5.º);</w:t>
      </w:r>
    </w:p>
    <w:p>
      <w:pPr>
        <w:pStyle w:val="ListBullet"/>
      </w:pPr>
      <w:r>
        <w:rPr>
          <w:b/>
        </w:rPr>
        <w:t xml:space="preserve">Art.os 6.º a 18.º — </w:t>
      </w:r>
      <w:r>
        <w:t>cumprir as normas gerais de bem-estar, alojamento, ambiente, alimentação, maneio, higiene e saúde (art.os 6.º a 18.º), incluindo um programa de profilaxia supervisionado pelo médico veterinário (art.º 16.º);</w:t>
      </w:r>
    </w:p>
    <w:p>
      <w:pPr>
        <w:pStyle w:val="ListBullet"/>
      </w:pPr>
      <w:r>
        <w:rPr>
          <w:b/>
        </w:rPr>
        <w:t xml:space="preserve">Art.º 25.º — </w:t>
      </w:r>
      <w:r>
        <w:t>dispor das instalações individualizadas do art.º 25.º: armazenagem, lavagem, maternidade, criação, quarentena, enfermaria, manuseamento de alimentos e higienização. Numa criação doméstica de roedores, esta exigência é desproporcionada (ver Observações);</w:t>
      </w:r>
    </w:p>
    <w:p>
      <w:pPr>
        <w:pStyle w:val="ListBullet"/>
      </w:pPr>
      <w:r>
        <w:rPr>
          <w:b/>
        </w:rPr>
        <w:t xml:space="preserve">Art.º 26.º — </w:t>
      </w:r>
      <w:r>
        <w:t>cumprir o art.º 26.º e o anexo II (caixas para pequenos roedores, incluindo roedores em reprodução).</w:t>
      </w:r>
    </w:p>
    <w:p>
      <w:pPr>
        <w:pStyle w:val="Heading2"/>
      </w:pPr>
      <w:r>
        <w:rPr>
          <w:color w:val="1F3A5F"/>
        </w:rPr>
        <w:t>3.4 Regras de anúncio, venda e transmissão</w:t>
      </w:r>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n.º 1, do art.º 53.º do Decreto-Lei n.º 276/2001</w:t>
            </w:r>
          </w:p>
          <w:p>
            <w:r>
              <w:rPr>
                <w:i/>
                <w:sz w:val="19"/>
              </w:rPr>
              <w:t>1 - Qualquer anúncio de transmissão, a título oneroso, de animais de companhia deve conter as seguintes informações:</w:t>
            </w:r>
          </w:p>
          <w:p>
            <w:r>
              <w:rPr>
                <w:i/>
                <w:sz w:val="19"/>
              </w:rPr>
              <w:t>a) A idade dos animais;</w:t>
            </w:r>
          </w:p>
          <w:p>
            <w:r>
              <w:rPr>
                <w:i/>
                <w:sz w:val="19"/>
              </w:rPr>
              <w:t>b) Tratando-se de cão ou gato, a indicação se é animal de raça pura ou indeterminada, sendo que, tratando-se de animal de raça pura, deve obrigatoriamente ser referido o número de registo no livro de origens português;</w:t>
            </w:r>
          </w:p>
          <w:p>
            <w:r>
              <w:rPr>
                <w:i/>
                <w:sz w:val="19"/>
              </w:rPr>
              <w:t>c) Número de identificação eletrónica da cria e da fêmea reprodutora;</w:t>
            </w:r>
          </w:p>
          <w:p>
            <w:r>
              <w:rPr>
                <w:i/>
                <w:sz w:val="19"/>
              </w:rPr>
              <w:t>d) Número de inscrição de criador nos termos do artigo 3.º do presente diploma;</w:t>
            </w:r>
          </w:p>
          <w:p>
            <w:r>
              <w:rPr>
                <w:i/>
                <w:sz w:val="19"/>
              </w:rPr>
              <w:t>e) Número de animais da ninhada.</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art.º 54.º do Decreto-Lei n.º 276/2001</w:t>
            </w:r>
          </w:p>
          <w:p>
            <w:r>
              <w:rPr>
                <w:i/>
                <w:sz w:val="19"/>
              </w:rPr>
              <w:t>Qualquer transmissão de propriedade, gratuita ou onerosa, de animal de companhia deve ser acompanhada, no momento da transmissão, dos seguintes documentos entregues ao adquirente:</w:t>
            </w:r>
          </w:p>
          <w:p>
            <w:r>
              <w:rPr>
                <w:i/>
                <w:sz w:val="19"/>
              </w:rPr>
              <w:t>a) Declaração de cedência ou contrato de compra e venda do animal e respetiva fatura, ou documento comprovativo da doação;</w:t>
            </w:r>
          </w:p>
          <w:p>
            <w:r>
              <w:rPr>
                <w:i/>
                <w:sz w:val="19"/>
              </w:rPr>
              <w:t>b) Comprovativo de identificação eletrónica do animal, desde que se trate de cão ou gato;</w:t>
            </w:r>
          </w:p>
          <w:p>
            <w:r>
              <w:rPr>
                <w:i/>
                <w:sz w:val="19"/>
              </w:rPr>
              <w:t>c) Declaração médico-veterinária, com prazo de pelo menos 15 dias, que ateste que o animal se encontra de boa saúde e apto a ser vendido;</w:t>
            </w:r>
          </w:p>
          <w:p>
            <w:r>
              <w:rPr>
                <w:i/>
                <w:sz w:val="19"/>
              </w:rPr>
              <w:t>d) Informação de vacinas e historial clínico do animal.</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n.º 1, do art.º 57.º do Decreto-Lei n.º 276/2001</w:t>
            </w:r>
          </w:p>
          <w:p>
            <w:r>
              <w:rPr>
                <w:i/>
                <w:sz w:val="19"/>
              </w:rPr>
              <w:t>1 - Os animais de companhia podem ser publicitados na Internet mas a compra e venda dos mesmos apenas é admitida no local de criação ou em estabelecimentos devidamente licenciados para o efeito, sendo expressamente proibida a venda de animais por entidade transportadora.</w:t>
            </w:r>
          </w:p>
        </w:tc>
      </w:tr>
    </w:tbl>
    <w:p/>
    <w:p>
      <w:pPr>
        <w:pStyle w:val="Heading2"/>
      </w:pPr>
      <w:r>
        <w:rPr>
          <w:color w:val="1F3A5F"/>
        </w:rPr>
        <w:t>3.5 Regulamento (UE) 2026/1818 — inaplicabilidade</w:t>
      </w:r>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art.º 2.º, n.º 1, do Regulamento (UE) 2026/1818  [EN — JO]</w:t>
            </w:r>
          </w:p>
          <w:p>
            <w:r>
              <w:rPr>
                <w:i/>
                <w:sz w:val="19"/>
              </w:rPr>
              <w:t>1. This Regulation applies to the breeding, keeping, tracing, placing on the market and entry into the Union of dogs and cats.</w:t>
            </w:r>
          </w:p>
        </w:tc>
      </w:tr>
    </w:tbl>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art.º 2.º, n.º 1, do Regulamento (UE) 2026/1818  [PT — JO]</w:t>
            </w:r>
          </w:p>
          <w:p>
            <w:r>
              <w:rPr>
                <w:i/>
                <w:sz w:val="19"/>
              </w:rPr>
              <w:t>1. O presente regulamento é aplicável à criação, à detenção, à rastreabilidade, à colocação no mercado e à entrada na União de cães e gatos.</w:t>
            </w:r>
          </w:p>
        </w:tc>
      </w:tr>
    </w:tbl>
    <w:p/>
    <w:p>
      <w:r>
        <w:rPr>
          <w:b w:val="0"/>
          <w:i w:val="0"/>
        </w:rPr>
        <w:t>O Regulamento aplica-se só a cães e gatos. Não abrange hamsters, nem sequer a título supletivo.</w:t>
      </w:r>
    </w:p>
    <w:p>
      <w:pPr>
        <w:pStyle w:val="Heading1"/>
      </w:pPr>
      <w:r>
        <w:rPr>
          <w:color w:val="1F3A5F"/>
        </w:rPr>
        <w:t>4. Análise da divergência ICNF / DGAV</w:t>
      </w:r>
    </w:p>
    <w:tbl>
      <w:tblPr>
        <w:tblStyle w:val="TableGrid"/>
        <w:tblW w:type="auto" w:w="0"/>
        <w:tblLook w:firstColumn="1" w:firstRow="1" w:lastColumn="0" w:lastRow="0" w:noHBand="0" w:noVBand="1" w:val="04A0"/>
      </w:tblPr>
      <w:tblGrid>
        <w:gridCol w:w="2436"/>
        <w:gridCol w:w="2436"/>
        <w:gridCol w:w="2436"/>
        <w:gridCol w:w="2436"/>
      </w:tblGrid>
      <w:tr>
        <w:tc>
          <w:tcPr>
            <w:tcW w:type="dxa" w:w="1814"/>
            <w:shd w:val="clear" w:color="auto" w:fill="1F3A5F"/>
          </w:tcPr>
          <w:p>
            <w:r>
              <w:rPr>
                <w:b/>
                <w:color w:val="FFFFFF"/>
                <w:sz w:val="18"/>
              </w:rPr>
              <w:t>Matéria</w:t>
            </w:r>
          </w:p>
        </w:tc>
        <w:tc>
          <w:tcPr>
            <w:tcW w:type="dxa" w:w="2041"/>
            <w:shd w:val="clear" w:color="auto" w:fill="1F3A5F"/>
          </w:tcPr>
          <w:p>
            <w:r>
              <w:rPr>
                <w:b/>
                <w:color w:val="FFFFFF"/>
                <w:sz w:val="18"/>
              </w:rPr>
              <w:t>Posição do ICNF (segundo a requerente)</w:t>
            </w:r>
          </w:p>
        </w:tc>
        <w:tc>
          <w:tcPr>
            <w:tcW w:type="dxa" w:w="2041"/>
            <w:shd w:val="clear" w:color="auto" w:fill="1F3A5F"/>
          </w:tcPr>
          <w:p>
            <w:r>
              <w:rPr>
                <w:b/>
                <w:color w:val="FFFFFF"/>
                <w:sz w:val="18"/>
              </w:rPr>
              <w:t>Posição da DGAV (DSPA)</w:t>
            </w:r>
          </w:p>
        </w:tc>
        <w:tc>
          <w:tcPr>
            <w:tcW w:type="dxa" w:w="3742"/>
            <w:shd w:val="clear" w:color="auto" w:fill="1F3A5F"/>
          </w:tcPr>
          <w:p>
            <w:r>
              <w:rPr>
                <w:b/>
                <w:color w:val="FFFFFF"/>
                <w:sz w:val="18"/>
              </w:rPr>
              <w:t>Apreciação</w:t>
            </w:r>
          </w:p>
        </w:tc>
      </w:tr>
      <w:tr>
        <w:tc>
          <w:tcPr>
            <w:tcW w:type="dxa" w:w="1814"/>
          </w:tcPr>
          <w:p>
            <w:r>
              <w:rPr>
                <w:sz w:val="18"/>
              </w:rPr>
              <w:t>Licença de espécies exóticas (DL 92/2019)</w:t>
            </w:r>
          </w:p>
        </w:tc>
        <w:tc>
          <w:tcPr>
            <w:tcW w:type="dxa" w:w="2041"/>
          </w:tcPr>
          <w:p>
            <w:r>
              <w:rPr>
                <w:sz w:val="18"/>
              </w:rPr>
              <w:t>Não carece de licença.</w:t>
            </w:r>
          </w:p>
        </w:tc>
        <w:tc>
          <w:tcPr>
            <w:tcW w:type="dxa" w:w="2041"/>
          </w:tcPr>
          <w:p>
            <w:r>
              <w:rPr>
                <w:sz w:val="18"/>
              </w:rPr>
              <w:t>Não se pronunciou.</w:t>
            </w:r>
          </w:p>
        </w:tc>
        <w:tc>
          <w:tcPr>
            <w:tcW w:type="dxa" w:w="3742"/>
          </w:tcPr>
          <w:p>
            <w:r>
              <w:rPr>
                <w:sz w:val="18"/>
              </w:rPr>
              <w:t>É matéria da competência exclusiva do ICNF (art.º 4.º do DL 92/2019). A DGAV não deve contrariar esta posição, que favorece a requerente. Convém, contudo, obter confirmação escrita (ver 4.2).</w:t>
            </w:r>
          </w:p>
        </w:tc>
      </w:tr>
      <w:tr>
        <w:tc>
          <w:tcPr>
            <w:tcW w:type="dxa" w:w="1814"/>
          </w:tcPr>
          <w:p>
            <w:r>
              <w:rPr>
                <w:sz w:val="18"/>
              </w:rPr>
              <w:t>Registo no SIAC</w:t>
            </w:r>
          </w:p>
        </w:tc>
        <w:tc>
          <w:tcPr>
            <w:tcW w:type="dxa" w:w="2041"/>
          </w:tcPr>
          <w:p>
            <w:r>
              <w:rPr>
                <w:sz w:val="18"/>
              </w:rPr>
              <w:t>Obrigatório.</w:t>
            </w:r>
          </w:p>
        </w:tc>
        <w:tc>
          <w:tcPr>
            <w:tcW w:type="dxa" w:w="2041"/>
          </w:tcPr>
          <w:p>
            <w:r>
              <w:rPr>
                <w:sz w:val="18"/>
              </w:rPr>
              <w:t>Não obrigatório (implícito).</w:t>
            </w:r>
          </w:p>
        </w:tc>
        <w:tc>
          <w:tcPr>
            <w:tcW w:type="dxa" w:w="3742"/>
          </w:tcPr>
          <w:p>
            <w:r>
              <w:rPr>
                <w:sz w:val="18"/>
              </w:rPr>
              <w:t>Sem base legal. O SIAC e a identificação são competência da DGAV (DL 82/2019), e a identificação dos roedores é facultativa (n.º 1 do art.º 4.º).</w:t>
            </w:r>
          </w:p>
        </w:tc>
      </w:tr>
      <w:tr>
        <w:tc>
          <w:tcPr>
            <w:tcW w:type="dxa" w:w="1814"/>
          </w:tcPr>
          <w:p>
            <w:r>
              <w:rPr>
                <w:sz w:val="18"/>
              </w:rPr>
              <w:t>Microchip</w:t>
            </w:r>
          </w:p>
        </w:tc>
        <w:tc>
          <w:tcPr>
            <w:tcW w:type="dxa" w:w="2041"/>
          </w:tcPr>
          <w:p>
            <w:r>
              <w:rPr>
                <w:sz w:val="18"/>
              </w:rPr>
              <w:t>Obrigatório.</w:t>
            </w:r>
          </w:p>
        </w:tc>
        <w:tc>
          <w:tcPr>
            <w:tcW w:type="dxa" w:w="2041"/>
          </w:tcPr>
          <w:p>
            <w:r>
              <w:rPr>
                <w:sz w:val="18"/>
              </w:rPr>
              <w:t>«A legislação nacional não estabelece a obrigatoriedade de identificação eletrónica de Hamsters».</w:t>
            </w:r>
          </w:p>
        </w:tc>
        <w:tc>
          <w:tcPr>
            <w:tcW w:type="dxa" w:w="3742"/>
          </w:tcPr>
          <w:p>
            <w:r>
              <w:rPr>
                <w:sz w:val="18"/>
              </w:rPr>
              <w:t>A DGAV tem razão. A única norma que poderia sugerir o contrário é a al. c) do n.º 1 do art.º 53.º do DL 276/2001, que respeita ao conteúdo dos anúncios e não impõe marcação (ver 4.3).</w:t>
            </w:r>
          </w:p>
        </w:tc>
      </w:tr>
      <w:tr>
        <w:tc>
          <w:tcPr>
            <w:tcW w:type="dxa" w:w="1814"/>
          </w:tcPr>
          <w:p>
            <w:r>
              <w:rPr>
                <w:sz w:val="18"/>
              </w:rPr>
              <w:t>Mera comunicação prévia (criador)</w:t>
            </w:r>
          </w:p>
        </w:tc>
        <w:tc>
          <w:tcPr>
            <w:tcW w:type="dxa" w:w="2041"/>
          </w:tcPr>
          <w:p>
            <w:r>
              <w:rPr>
                <w:sz w:val="18"/>
              </w:rPr>
              <w:t>Não referida.</w:t>
            </w:r>
          </w:p>
        </w:tc>
        <w:tc>
          <w:tcPr>
            <w:tcW w:type="dxa" w:w="2041"/>
          </w:tcPr>
          <w:p>
            <w:r>
              <w:rPr>
                <w:sz w:val="18"/>
              </w:rPr>
              <w:t>Não referida.</w:t>
            </w:r>
          </w:p>
        </w:tc>
        <w:tc>
          <w:tcPr>
            <w:tcW w:type="dxa" w:w="3742"/>
          </w:tcPr>
          <w:p>
            <w:r>
              <w:rPr>
                <w:sz w:val="18"/>
              </w:rPr>
              <w:t>Ambas as respostas são omissas. É o ponto juridicamente mais relevante para a requerente.</w:t>
            </w:r>
          </w:p>
        </w:tc>
      </w:tr>
    </w:tbl>
    <w:p/>
    <w:p>
      <w:pPr>
        <w:pStyle w:val="Heading2"/>
      </w:pPr>
      <w:r>
        <w:rPr>
          <w:color w:val="1F3A5F"/>
        </w:rPr>
        <w:t>4.1 Origem provável da posição do ICNF</w:t>
      </w:r>
    </w:p>
    <w:p>
      <w:r>
        <w:rPr>
          <w:b w:val="0"/>
          <w:i w:val="0"/>
        </w:rPr>
        <w:t>O Manual de Normas e Procedimentos da Divisão de Aplicação de Normativos do ICNF (rev. 01.2023), no ponto 3.3.23, aplica aos animais do seu âmbito os requisitos do art.º 53.º do DL 276/2001 «com as devidas adaptações». Entre esses requisitos inclui a «Marcação do espécime e respetivos progenitores». O ICNF terá estendido esta lógica aos animais de companhia em geral e tê-la associado ao SIAC. O SIAC, porém, é um sistema da DGAV e só é obrigatório para cães, gatos e furões.</w:t>
      </w:r>
    </w:p>
    <w:p>
      <w:pPr>
        <w:pStyle w:val="Heading2"/>
      </w:pPr>
      <w:r>
        <w:rPr>
          <w:color w:val="1F3A5F"/>
        </w:rPr>
        <w:t>4.2 Licença ICNF — fragilidade da fundamentação</w:t>
      </w:r>
    </w:p>
    <w:tbl>
      <w:tblPr>
        <w:tblStyle w:val="TableGrid"/>
        <w:tblW w:type="auto" w:w="0"/>
        <w:tblLook w:firstColumn="1" w:firstRow="1" w:lastColumn="0" w:lastRow="0" w:noHBand="0" w:noVBand="1" w:val="04A0"/>
      </w:tblPr>
      <w:tblGrid>
        <w:gridCol w:w="9746"/>
      </w:tblGrid>
      <w:tr>
        <w:tc>
          <w:tcPr>
            <w:tcW w:type="dxa" w:w="9746"/>
            <w:shd w:val="clear" w:color="auto" w:fill="EEF3F8"/>
          </w:tcPr>
          <w:p>
            <w:r>
              <w:rPr>
                <w:b/>
                <w:color w:val="1F3A5F"/>
                <w:sz w:val="18"/>
              </w:rPr>
              <w:t>n.os 1 e 2, do art.º 5.º do Decreto-Lei n.º 92/2019</w:t>
            </w:r>
          </w:p>
          <w:p>
            <w:r>
              <w:rPr>
                <w:i/>
                <w:sz w:val="19"/>
              </w:rPr>
              <w:t>1 - É sujeita a licença a detenção, cultivo ou criação, por pessoas singulares ou coletivas, de espécimes de espécies exóticas para fins comerciais, científicos ou pedagógicos, nomeadamente em:</w:t>
            </w:r>
          </w:p>
          <w:p>
            <w:r>
              <w:rPr>
                <w:i/>
                <w:sz w:val="19"/>
              </w:rPr>
              <w:t>[…]</w:t>
            </w:r>
          </w:p>
          <w:p>
            <w:r>
              <w:rPr>
                <w:i/>
                <w:sz w:val="19"/>
              </w:rPr>
              <w:t>c) Aquários, lojas e outros locais de venda de animais;</w:t>
            </w:r>
          </w:p>
          <w:p>
            <w:r>
              <w:rPr>
                <w:i/>
                <w:sz w:val="19"/>
              </w:rPr>
              <w:t>d) Instalações para criação de animais.</w:t>
            </w:r>
          </w:p>
          <w:p>
            <w:r>
              <w:rPr>
                <w:i/>
                <w:sz w:val="19"/>
              </w:rPr>
              <w:t>2 - São isentas da licença referida no número anterior as situações de:</w:t>
            </w:r>
          </w:p>
          <w:p>
            <w:r>
              <w:rPr>
                <w:i/>
                <w:sz w:val="19"/>
              </w:rPr>
              <w:t>a) Detenção, cultivo ou criação de espécimes de espécies exóticas identificadas nos termos do n.º 4 do artigo 1.º, quando circunscritos a um determinado território, ou parte dele, onde a introdução dessa espécie está confirmada;</w:t>
            </w:r>
          </w:p>
          <w:p>
            <w:r>
              <w:rPr>
                <w:i/>
                <w:sz w:val="19"/>
              </w:rPr>
              <w:t>[…]</w:t>
            </w:r>
          </w:p>
        </w:tc>
      </w:tr>
    </w:tbl>
    <w:p/>
    <w:p>
      <w:r>
        <w:rPr>
          <w:b w:val="0"/>
          <w:i w:val="0"/>
        </w:rPr>
        <w:t>A definição de «espécie exótica» da al. i) do art.º 2.º do DL 92/2019 abrange, em sentido literal, o hamster sírio, que não é autóctone. O Mesocricetus auratus não consta da lista do ICNF prevista no n.º 4 do art.º 1.º («Espécies exóticas ocorrentes em Portugal Continental…»), que é quase só de flora. A dispensa de licença comunicada pelo ICNF assenta, assim, numa interpretação administrativa: a exclusão das espécies domesticadas tradicionalmente detidas como animais de companhia. Não assenta numa isenção expressa. Esta interpretação é razoável, mas convém que a requerente disponha da posição do ICNF por escrito.</w:t>
      </w:r>
    </w:p>
    <w:p>
      <w:pPr>
        <w:pStyle w:val="Heading2"/>
      </w:pPr>
      <w:r>
        <w:rPr>
          <w:color w:val="1F3A5F"/>
        </w:rPr>
        <w:t>4.3 Interpretação da al. c) do n.º 1 do art.º 53.º do DL 276/2001</w:t>
      </w:r>
    </w:p>
    <w:p>
      <w:r>
        <w:rPr>
          <w:b w:val="0"/>
          <w:i w:val="0"/>
        </w:rPr>
        <w:t>Em leitura literal, a al. c) aplicar-se-ia a «qualquer anúncio de transmissão, a título oneroso, de animais de companhia». A leitura sistemática afasta esse resultado (art.º 9.º do Código Civil), por três razões:</w:t>
      </w:r>
    </w:p>
    <w:p>
      <w:pPr>
        <w:pStyle w:val="ListBullet"/>
      </w:pPr>
      <w:r>
        <w:t>a al. b) do mesmo número restringe-se expressamente a cão ou gato, o que mostra que o legislador tinha em mente sobretudo estas espécies;</w:t>
      </w:r>
    </w:p>
    <w:p>
      <w:pPr>
        <w:pStyle w:val="ListBullet"/>
      </w:pPr>
      <w:r>
        <w:t>a al. b) do art.º 54.º, aprovada na mesma revisão (Lei n.º 95/2017), limita o comprovativo de identificação eletrónica a cão ou gato;</w:t>
      </w:r>
    </w:p>
    <w:p>
      <w:pPr>
        <w:pStyle w:val="ListBullet"/>
      </w:pPr>
      <w:r>
        <w:t>o DL 82/2019, posterior e especial em matéria de identificação, torna-a facultativa para roedores. Não é coerente que uma norma sobre o conteúdo de anúncios obrigue a marcar animais que a lei da identificação dispensa.</w:t>
      </w:r>
    </w:p>
    <w:p>
      <w:r>
        <w:rPr>
          <w:b w:val="0"/>
          <w:i w:val="0"/>
        </w:rPr>
        <w:t>Conclusão: a al. c) do n.º 1 do art.º 53.º deve ler-se «quando aplicável», isto é, só para as espécies sujeitas a identificação obrigatória. Há, no entanto, um risco residual. Um anúncio sem esse elemento pode ser visto como contraordenação económica grave (al. e) do n.º 1 do art.º 68.º), e as plataformas podem recusá-lo (art.º 53.º-A). Justifica-se, por isso, um esclarecimento interpretativo da DGAV.</w:t>
      </w:r>
    </w:p>
    <w:p>
      <w:pPr>
        <w:pStyle w:val="Heading2"/>
      </w:pPr>
      <w:r>
        <w:rPr>
          <w:color w:val="1F3A5F"/>
        </w:rPr>
        <w:t>4.4 Outra dúvida: o hamster sírio seria «animal selvagem»?</w:t>
      </w:r>
    </w:p>
    <w:p>
      <w:r>
        <w:rPr>
          <w:b w:val="0"/>
          <w:i w:val="0"/>
        </w:rPr>
        <w:t>A al. dd) do n.º 1 do art.º 2.º do DL 276/2001 define «animal selvagem» de forma ampla («todo o animal cuja espécie existe na natureza…»). Nessa leitura, o hamster sírio poderia ficar abrangido pela proibição de anúncio e venda na Internet do art.º 55.º. Esta leitura é de afastar, por quatro razões: o próprio DL 276/2001 regula a criação de pequenos roedores como animais de companhia (art.º 26.º e anexo II); a espécie consta da parte B do anexo I do Reg. (UE) 2016/429; o ICNF, que é a autoridade para a fauna selvagem, não a trata como tal; e o @rgac define «animal de companhia» por remissão para esse anexo.</w:t>
      </w:r>
    </w:p>
    <w:p>
      <w:pPr>
        <w:pStyle w:val="Heading1"/>
      </w:pPr>
      <w:r>
        <w:rPr>
          <w:color w:val="1F3A5F"/>
        </w:rPr>
        <w:t>5. Diploma final @rgac (trabalho em curso — não é legislação vigente)</w:t>
      </w:r>
    </w:p>
    <w:p>
      <w:r>
        <w:rPr>
          <w:b w:val="0"/>
          <w:i/>
          <w:color w:val="555555"/>
          <w:sz w:val="18"/>
        </w:rPr>
        <w:t>Versão analisada: RGAC_Rev. DAJA _V1_06_2026.</w:t>
      </w:r>
    </w:p>
    <w:p>
      <w:pPr>
        <w:pStyle w:val="ListBullet"/>
      </w:pPr>
      <w:r>
        <w:t>Mantém a identificação obrigatória só para cães, gatos e furões. Define «animal de companhia» por remissão para o anexo I do Reg. (UE) 2016/429, o que inclui os roedores.</w:t>
      </w:r>
    </w:p>
    <w:p>
      <w:pPr>
        <w:pStyle w:val="ListBullet"/>
      </w:pPr>
      <w:r>
        <w:t>Resolve a dúvida da al. c) do n.º 1 do art.º 53.º. Para «outros animais de companhia», o anúncio deve conter o «Número de identificação da cria e da fêmea reprodutora, quando aplicável». Na transmissão, esses animais devem ser acompanhados de «documento que ateste a origem, emitido pelo criador».</w:t>
      </w:r>
    </w:p>
    <w:p>
      <w:pPr>
        <w:pStyle w:val="ListBullet"/>
      </w:pPr>
      <w:r>
        <w:t>Lacuna a corrigir: o anúncio de outras espécies exige o «Número de registo do estabelecimento de criação». Porém, «Estabelecimento de criação» está definido só para instalações onde se mantêm «cães ou gatos». Assim, não fica claro se os criadores de roedores estão sujeitos a mera comunicação prévia. Sugere-se alargar a definição, ou prever expressamente os criadores de outras espécies.</w:t>
      </w:r>
    </w:p>
    <w:p>
      <w:pPr>
        <w:pStyle w:val="ListBullet"/>
      </w:pPr>
      <w:r>
        <w:t>Os parâmetros das caixas para pequenos roedores passam para portaria. Os parâmetros dos alojamentos de outras espécies passam para despacho do DG. Esta é a sede adequada para uma solução proporcional à pequena escala.</w:t>
      </w:r>
    </w:p>
    <w:p>
      <w:pPr>
        <w:pStyle w:val="Heading1"/>
      </w:pPr>
      <w:r>
        <w:rPr>
          <w:color w:val="1F3A5F"/>
        </w:rPr>
        <w:t>6. Proposta de atuação</w:t>
      </w:r>
    </w:p>
    <w:tbl>
      <w:tblPr>
        <w:tblStyle w:val="TableGrid"/>
        <w:tblW w:type="auto" w:w="0"/>
        <w:tblLook w:firstColumn="1" w:firstRow="1" w:lastColumn="0" w:lastRow="0" w:noHBand="0" w:noVBand="1" w:val="04A0"/>
      </w:tblPr>
      <w:tblGrid>
        <w:gridCol w:w="2436"/>
        <w:gridCol w:w="2436"/>
        <w:gridCol w:w="2436"/>
        <w:gridCol w:w="2436"/>
      </w:tblGrid>
      <w:tr>
        <w:tc>
          <w:tcPr>
            <w:tcW w:type="dxa" w:w="397"/>
            <w:shd w:val="clear" w:color="auto" w:fill="1F3A5F"/>
          </w:tcPr>
          <w:p>
            <w:r>
              <w:rPr>
                <w:b/>
                <w:color w:val="FFFFFF"/>
                <w:sz w:val="18"/>
              </w:rPr>
              <w:t>#</w:t>
            </w:r>
          </w:p>
        </w:tc>
        <w:tc>
          <w:tcPr>
            <w:tcW w:type="dxa" w:w="5839"/>
            <w:shd w:val="clear" w:color="auto" w:fill="1F3A5F"/>
          </w:tcPr>
          <w:p>
            <w:r>
              <w:rPr>
                <w:b/>
                <w:color w:val="FFFFFF"/>
                <w:sz w:val="18"/>
              </w:rPr>
              <w:t>Ação</w:t>
            </w:r>
          </w:p>
        </w:tc>
        <w:tc>
          <w:tcPr>
            <w:tcW w:type="dxa" w:w="2154"/>
            <w:shd w:val="clear" w:color="auto" w:fill="1F3A5F"/>
          </w:tcPr>
          <w:p>
            <w:r>
              <w:rPr>
                <w:b/>
                <w:color w:val="FFFFFF"/>
                <w:sz w:val="18"/>
              </w:rPr>
              <w:t>Responsável</w:t>
            </w:r>
          </w:p>
        </w:tc>
        <w:tc>
          <w:tcPr>
            <w:tcW w:type="dxa" w:w="1247"/>
            <w:shd w:val="clear" w:color="auto" w:fill="1F3A5F"/>
          </w:tcPr>
          <w:p>
            <w:r>
              <w:rPr>
                <w:b/>
                <w:color w:val="FFFFFF"/>
                <w:sz w:val="18"/>
              </w:rPr>
              <w:t>Prioridade</w:t>
            </w:r>
          </w:p>
        </w:tc>
      </w:tr>
      <w:tr>
        <w:tc>
          <w:tcPr>
            <w:tcW w:type="dxa" w:w="397"/>
          </w:tcPr>
          <w:p>
            <w:r>
              <w:rPr>
                <w:sz w:val="18"/>
              </w:rPr>
              <w:t>1</w:t>
            </w:r>
          </w:p>
        </w:tc>
        <w:tc>
          <w:tcPr>
            <w:tcW w:type="dxa" w:w="5839"/>
          </w:tcPr>
          <w:p>
            <w:r>
              <w:rPr>
                <w:sz w:val="18"/>
              </w:rPr>
              <w:t>Responder à requerente com a minuta do ponto 7: sem microchip nem SIAC obrigatórios, com mera comunicação prévia e regras de venda.</w:t>
            </w:r>
          </w:p>
        </w:tc>
        <w:tc>
          <w:tcPr>
            <w:tcW w:type="dxa" w:w="2154"/>
          </w:tcPr>
          <w:p>
            <w:r>
              <w:rPr>
                <w:sz w:val="18"/>
              </w:rPr>
              <w:t>DSBEA/DBEAFECZ</w:t>
            </w:r>
          </w:p>
        </w:tc>
        <w:tc>
          <w:tcPr>
            <w:tcW w:type="dxa" w:w="1247"/>
          </w:tcPr>
          <w:p>
            <w:r>
              <w:rPr>
                <w:sz w:val="18"/>
              </w:rPr>
              <w:t>Imediata</w:t>
            </w:r>
          </w:p>
        </w:tc>
      </w:tr>
      <w:tr>
        <w:tc>
          <w:tcPr>
            <w:tcW w:type="dxa" w:w="397"/>
          </w:tcPr>
          <w:p>
            <w:r>
              <w:rPr>
                <w:sz w:val="18"/>
              </w:rPr>
              <w:t>2</w:t>
            </w:r>
          </w:p>
        </w:tc>
        <w:tc>
          <w:tcPr>
            <w:tcW w:type="dxa" w:w="5839"/>
          </w:tcPr>
          <w:p>
            <w:r>
              <w:rPr>
                <w:sz w:val="18"/>
              </w:rPr>
              <w:t>Ofício ou e-mail ao ICNF (DAN) para harmonizar a informação prestada ao público: a identificação e o registo no SIAC dos roedores são facultativos (DL 82/2019, competência DGAV); pedir confirmação escrita do fundamento da dispensa de licença (DL 92/2019) para roedores domesticados; sugerir revisão do ponto 3.3.23 do Manual do ICNF.</w:t>
            </w:r>
          </w:p>
        </w:tc>
        <w:tc>
          <w:tcPr>
            <w:tcW w:type="dxa" w:w="2154"/>
          </w:tcPr>
          <w:p>
            <w:r>
              <w:rPr>
                <w:sz w:val="18"/>
              </w:rPr>
              <w:t>DSBEA, em articulação com a DSPA</w:t>
            </w:r>
          </w:p>
        </w:tc>
        <w:tc>
          <w:tcPr>
            <w:tcW w:type="dxa" w:w="1247"/>
          </w:tcPr>
          <w:p>
            <w:r>
              <w:rPr>
                <w:sz w:val="18"/>
              </w:rPr>
              <w:t>Alta</w:t>
            </w:r>
          </w:p>
        </w:tc>
      </w:tr>
      <w:tr>
        <w:tc>
          <w:tcPr>
            <w:tcW w:type="dxa" w:w="397"/>
          </w:tcPr>
          <w:p>
            <w:r>
              <w:rPr>
                <w:sz w:val="18"/>
              </w:rPr>
              <w:t>3</w:t>
            </w:r>
          </w:p>
        </w:tc>
        <w:tc>
          <w:tcPr>
            <w:tcW w:type="dxa" w:w="5839"/>
          </w:tcPr>
          <w:p>
            <w:r>
              <w:rPr>
                <w:sz w:val="18"/>
              </w:rPr>
              <w:t>Confirmar com a DSPA que não existe despacho ao abrigo do n.º 2 do art.º 4.º do DL 82/2019 para roedores.</w:t>
            </w:r>
          </w:p>
        </w:tc>
        <w:tc>
          <w:tcPr>
            <w:tcW w:type="dxa" w:w="2154"/>
          </w:tcPr>
          <w:p>
            <w:r>
              <w:rPr>
                <w:sz w:val="18"/>
              </w:rPr>
              <w:t>DSPA</w:t>
            </w:r>
          </w:p>
        </w:tc>
        <w:tc>
          <w:tcPr>
            <w:tcW w:type="dxa" w:w="1247"/>
          </w:tcPr>
          <w:p>
            <w:r>
              <w:rPr>
                <w:sz w:val="18"/>
              </w:rPr>
              <w:t>Alta</w:t>
            </w:r>
          </w:p>
        </w:tc>
      </w:tr>
      <w:tr>
        <w:tc>
          <w:tcPr>
            <w:tcW w:type="dxa" w:w="397"/>
          </w:tcPr>
          <w:p>
            <w:r>
              <w:rPr>
                <w:sz w:val="18"/>
              </w:rPr>
              <w:t>4</w:t>
            </w:r>
          </w:p>
        </w:tc>
        <w:tc>
          <w:tcPr>
            <w:tcW w:type="dxa" w:w="5839"/>
          </w:tcPr>
          <w:p>
            <w:r>
              <w:rPr>
                <w:sz w:val="18"/>
              </w:rPr>
              <w:t>Publicar uma FAQ ou orientação da DGAV sobre a criação de pequenos mamíferos não sujeitos a identificação: mera comunicação prévia; al. c) do n.º 1 do art.º 53.º «quando aplicável»; documentos de transmissão.</w:t>
            </w:r>
          </w:p>
        </w:tc>
        <w:tc>
          <w:tcPr>
            <w:tcW w:type="dxa" w:w="2154"/>
          </w:tcPr>
          <w:p>
            <w:r>
              <w:rPr>
                <w:sz w:val="18"/>
              </w:rPr>
              <w:t>DSBEA</w:t>
            </w:r>
          </w:p>
        </w:tc>
        <w:tc>
          <w:tcPr>
            <w:tcW w:type="dxa" w:w="1247"/>
          </w:tcPr>
          <w:p>
            <w:r>
              <w:rPr>
                <w:sz w:val="18"/>
              </w:rPr>
              <w:t>Média</w:t>
            </w:r>
          </w:p>
        </w:tc>
      </w:tr>
      <w:tr>
        <w:tc>
          <w:tcPr>
            <w:tcW w:type="dxa" w:w="397"/>
          </w:tcPr>
          <w:p>
            <w:r>
              <w:rPr>
                <w:sz w:val="18"/>
              </w:rPr>
              <w:t>5</w:t>
            </w:r>
          </w:p>
        </w:tc>
        <w:tc>
          <w:tcPr>
            <w:tcW w:type="dxa" w:w="5839"/>
          </w:tcPr>
          <w:p>
            <w:r>
              <w:rPr>
                <w:sz w:val="18"/>
              </w:rPr>
              <w:t>@rgac: alargar a definição de «estabelecimento de criação» a outras espécies ou prever norma própria; prever um regime proporcional para a pequena escala (equivalência funcional das instalações do art.º 25.º), como no memorando sobre criação em pequena escala de 14.9.2026.</w:t>
            </w:r>
          </w:p>
        </w:tc>
        <w:tc>
          <w:tcPr>
            <w:tcW w:type="dxa" w:w="2154"/>
          </w:tcPr>
          <w:p>
            <w:r>
              <w:rPr>
                <w:sz w:val="18"/>
              </w:rPr>
              <w:t>Grupo RGAC / DAJA</w:t>
            </w:r>
          </w:p>
        </w:tc>
        <w:tc>
          <w:tcPr>
            <w:tcW w:type="dxa" w:w="1247"/>
          </w:tcPr>
          <w:p>
            <w:r>
              <w:rPr>
                <w:sz w:val="18"/>
              </w:rPr>
              <w:t>Média</w:t>
            </w:r>
          </w:p>
        </w:tc>
      </w:tr>
    </w:tbl>
    <w:p/>
    <w:p>
      <w:pPr>
        <w:pStyle w:val="Heading2"/>
      </w:pPr>
      <w:r>
        <w:rPr>
          <w:color w:val="1F3A5F"/>
        </w:rPr>
        <w:t>Observações</w:t>
      </w:r>
    </w:p>
    <w:p>
      <w:r>
        <w:rPr>
          <w:b w:val="0"/>
          <w:i/>
          <w:color w:val="555555"/>
          <w:sz w:val="18"/>
        </w:rPr>
        <w:t>As deduções, inferências e opiniões desta informação concentram-se aqui.</w:t>
      </w:r>
    </w:p>
    <w:p>
      <w:pPr>
        <w:pStyle w:val="ListBullet"/>
      </w:pPr>
      <w:r>
        <w:t>Bem-estar: a preocupação da requerente com o microchip é legítima. Existem transponders miniatura, mas num animal de cerca de 100–150 g a implantação implica contenção e dor aguda, com riscos de migração e de reação local. Como a lei não impõe a marcação, não se recomenda a identificação eletrónica voluntária para fins comerciais. Se for feita, tem de ser aplicada por médico veterinário (al. c) do art.º 3.º do DL 82/2019) e implica cumprir o DL 82/2019 a partir desse momento.</w:t>
      </w:r>
    </w:p>
    <w:p>
      <w:pPr>
        <w:pStyle w:val="ListBullet"/>
      </w:pPr>
      <w:r>
        <w:t>Proporcionalidade: exigir a uma criação doméstica de 1 a 2 casais de hamsters as instalações individualizadas do art.º 25.º do DL 276/2001 (maternidade, quarentena, enfermaria, etc.) é desproporcionado. Na fiscalização deve admitir-se a equivalência funcional, como preconizado para a pequena escala em cães e gatos.</w:t>
      </w:r>
    </w:p>
    <w:p>
      <w:pPr>
        <w:pStyle w:val="ListBullet"/>
      </w:pPr>
      <w:r>
        <w:t>Capacidade: cada ninhada de hamster sírio pode ter muitas crias. A capacidade máxima declarada (al. h) do n.º 1 do art.º 3.º-A) e o espaço (n.º 3 do art.º 26.º) devem prever a separação das crias por sexo e o alojamento individual dos adultos, próprio desta espécie solitária, até à venda.</w:t>
      </w:r>
    </w:p>
    <w:p>
      <w:pPr>
        <w:pStyle w:val="ListBullet"/>
      </w:pPr>
      <w:r>
        <w:t>Adquirentes: recomenda-se entregar ao adquirente informação escrita sobre as necessidades da espécie. O @rgac vai nesse sentido.</w:t>
      </w:r>
    </w:p>
    <w:p>
      <w:pPr>
        <w:pStyle w:val="Heading1"/>
      </w:pPr>
      <w:r>
        <w:rPr>
          <w:color w:val="1F3A5F"/>
        </w:rPr>
        <w:t>7. Minuta de resposta à requerente</w:t>
      </w:r>
    </w:p>
    <w:tbl>
      <w:tblPr>
        <w:tblStyle w:val="TableGrid"/>
        <w:tblW w:type="auto" w:w="0"/>
        <w:tblLook w:firstColumn="1" w:firstRow="1" w:lastColumn="0" w:lastRow="0" w:noHBand="0" w:noVBand="1" w:val="04A0"/>
      </w:tblPr>
      <w:tblGrid>
        <w:gridCol w:w="9746"/>
      </w:tblGrid>
      <w:tr>
        <w:tc>
          <w:tcPr>
            <w:tcW w:type="dxa" w:w="9746"/>
            <w:shd w:val="clear" w:color="auto" w:fill="F7F7F7"/>
          </w:tcPr>
          <w:p>
            <w:r>
              <w:rPr>
                <w:b/>
                <w:sz w:val="19"/>
              </w:rPr>
              <w:t>Assunto: Criação de Hamsters Sírios — esclarecimento</w:t>
            </w:r>
          </w:p>
          <w:p>
            <w:r>
              <w:rPr>
                <w:sz w:val="19"/>
              </w:rPr>
            </w:r>
          </w:p>
          <w:p>
            <w:r>
              <w:rPr>
                <w:sz w:val="19"/>
              </w:rPr>
              <w:t>Exma. Senhora,</w:t>
            </w:r>
          </w:p>
          <w:p>
            <w:r>
              <w:rPr>
                <w:sz w:val="19"/>
              </w:rPr>
            </w:r>
          </w:p>
          <w:p>
            <w:r>
              <w:rPr>
                <w:sz w:val="19"/>
              </w:rPr>
              <w:t>Em resposta ao seu pedido de esclarecimento sobre a criação e venda de hamsters sírios (Mesocricetus auratus), informamos o seguinte:</w:t>
            </w:r>
          </w:p>
          <w:p>
            <w:r>
              <w:rPr>
                <w:sz w:val="19"/>
              </w:rPr>
            </w:r>
          </w:p>
          <w:p>
            <w:r>
              <w:rPr>
                <w:sz w:val="19"/>
              </w:rPr>
              <w:t>1. Identificação eletrónica e registo no SIAC — Nos termos do n.º 1 do artigo 4.º do Decreto-Lei n.º 82/2019, de 27 de junho, a identificação eletrónica (transponder/microchip) e o registo no Sistema de Informação de Animais de Companhia (SIAC) são obrigatórios apenas para cães, gatos e furões, sendo facultativos para os roedores. Os hamsters não estão, assim, sujeitos a identificação eletrónica nem a registo obrigatório no SIAC.</w:t>
            </w:r>
          </w:p>
          <w:p>
            <w:r>
              <w:rPr>
                <w:sz w:val="19"/>
              </w:rPr>
            </w:r>
          </w:p>
          <w:p>
            <w:r>
              <w:rPr>
                <w:sz w:val="19"/>
              </w:rPr>
              <w:t>2. Licença de espécies exóticas — Quanto ao Decreto-Lei n.º 92/2019, de 10 de julho, a competência é do Instituto da Conservação da Natureza e das Florestas, I. P. (ICNF), cuja informação de que a atividade não carece de licença se recomenda que conserve por escrito.</w:t>
            </w:r>
          </w:p>
          <w:p>
            <w:r>
              <w:rPr>
                <w:sz w:val="19"/>
              </w:rPr>
            </w:r>
          </w:p>
          <w:p>
            <w:r>
              <w:rPr>
                <w:sz w:val="19"/>
              </w:rPr>
              <w:t>3. Registo como criador — A detenção de uma ou mais fêmeas reprodutoras cujas crias se destinem a venda, independentemente do número de animais ou do preço praticado, constitui «criação comercial de animais de companhia» (alíneas y) e aa) do n.º 1 do artigo 2.º do Decreto-Lei n.º 276/2001, de 17 de outubro). Esta atividade depende de mera comunicação prévia à DGAV (alínea a) do n.º 1 do artigo 3.º e artigo 3.º-A do mesmo diploma), efetuada eletronicamente no portal ePortugal antes do início da atividade. Na comunicação deve indicar, entre outros elementos, o local do alojamento, as espécies, a capacidade máxima e o médico veterinário responsável. Da comunicação resulta um número de criador, pessoal e intransmissível. O exercício da atividade sem esta comunicação constitui contraordenação.</w:t>
            </w:r>
          </w:p>
          <w:p>
            <w:r>
              <w:rPr>
                <w:sz w:val="19"/>
              </w:rPr>
            </w:r>
          </w:p>
          <w:p>
            <w:r>
              <w:rPr>
                <w:sz w:val="19"/>
              </w:rPr>
              <w:t>4. Principais obrigações — Deverá, designadamente:</w:t>
            </w:r>
          </w:p>
          <w:p>
            <w:r>
              <w:rPr>
                <w:sz w:val="19"/>
              </w:rPr>
              <w:t>a) Dispor de médico veterinário responsável, que acompanhe o programa de saúde e bem-estar dos animais (artigos 4.º e 16.º);</w:t>
            </w:r>
          </w:p>
          <w:p>
            <w:r>
              <w:rPr>
                <w:sz w:val="19"/>
              </w:rPr>
              <w:t>b) Manter, durante um ano, registos dos animais e do movimento mensal: nascimentos, mortes, saídas e destino (artigo 5.º);</w:t>
            </w:r>
          </w:p>
          <w:p>
            <w:r>
              <w:rPr>
                <w:sz w:val="19"/>
              </w:rPr>
              <w:t>c) Assegurar as condições de alojamento, ambiente, alimentação, maneio e higiene previstas nos artigos 7.º a 14.º e as condições particulares para pequenos roedores do artigo 26.º e do anexo II do Decreto-Lei n.º 276/2001, incluindo nas fases de reprodução e crescimento das crias.</w:t>
            </w:r>
          </w:p>
          <w:p>
            <w:r>
              <w:rPr>
                <w:sz w:val="19"/>
              </w:rPr>
            </w:r>
          </w:p>
          <w:p>
            <w:r>
              <w:rPr>
                <w:sz w:val="19"/>
              </w:rPr>
              <w:t>5. Anúncio e venda — Os anúncios de venda devem indicar, pelo menos, a idade dos animais, o seu número de criador e o número de animais da ninhada (artigo 53.º). Não sendo os hamsters sujeitos a identificação eletrónica, não lhes é exigível a indicação de número de identificação eletrónica. A venda só pode concretizar-se no local de criação ou em estabelecimento licenciado, não podendo ser feita por entidade transportadora (artigo 57.º). No momento da entrega, devem ser facultados ao adquirente a declaração de cedência ou o contrato de compra e venda e a respetiva fatura, uma declaração médico-veterinária que ateste que o animal se encontra de boa saúde e apto a ser vendido, e a informação sobre o historial clínico (artigo 54.º).</w:t>
            </w:r>
          </w:p>
          <w:p>
            <w:r>
              <w:rPr>
                <w:sz w:val="19"/>
              </w:rPr>
            </w:r>
          </w:p>
          <w:p>
            <w:r>
              <w:rPr>
                <w:sz w:val="19"/>
              </w:rPr>
              <w:t>6. Obrigações fiscais — O exposto não prejudica as obrigações devidas junto da Autoridade Tributária e Aduaneira (n.º 13 do artigo 3.º do Decreto-Lei n.º 276/2001).</w:t>
            </w:r>
          </w:p>
          <w:p>
            <w:r>
              <w:rPr>
                <w:sz w:val="19"/>
              </w:rPr>
            </w:r>
          </w:p>
          <w:p>
            <w:r>
              <w:rPr>
                <w:sz w:val="19"/>
              </w:rPr>
              <w:t>7. Regulamento (UE) 2026/1818 — O novo Regulamento europeu relativo ao bem-estar e à rastreabilidade aplica-se apenas a cães e gatos, não abrangendo hamsters.</w:t>
            </w:r>
          </w:p>
          <w:p>
            <w:r>
              <w:rPr>
                <w:sz w:val="19"/>
              </w:rPr>
            </w:r>
          </w:p>
          <w:p>
            <w:r>
              <w:rPr>
                <w:sz w:val="19"/>
              </w:rPr>
              <w:t>Com os melhores cumprimentos,</w:t>
            </w:r>
          </w:p>
        </w:tc>
      </w:tr>
    </w:tbl>
    <w:p/>
    <w:p>
      <w:pPr>
        <w:pStyle w:val="Heading2"/>
      </w:pPr>
      <w:r>
        <w:rPr>
          <w:color w:val="1F3A5F"/>
        </w:rPr>
        <w:t>8. Fontes</w:t>
      </w:r>
    </w:p>
    <w:p>
      <w:pPr>
        <w:pStyle w:val="ListBullet"/>
      </w:pPr>
      <w:r>
        <w:t>Decreto-Lei n.º 276/2001, de 17 de outubro, na redação do DL n.º 9/2021 — versão consolidada PGDL (https://www.pgdlisboa.pt/leis/lei_mostra_articulado.php?nid=347&amp;tabela=leis) e ficheiro do repositório.</w:t>
      </w:r>
    </w:p>
    <w:p>
      <w:pPr>
        <w:pStyle w:val="ListBullet"/>
      </w:pPr>
      <w:r>
        <w:t>Decreto-Lei n.º 82/2019, de 27 de junho, na redação da Lei n.º 2/2020 — ficheiro @legislacao do repositório.</w:t>
      </w:r>
    </w:p>
    <w:p>
      <w:pPr>
        <w:pStyle w:val="ListBullet"/>
      </w:pPr>
      <w:r>
        <w:t>Decreto-Lei n.º 92/2019, de 10 de julho, na redação da Lei n.º 25/2023 — PGDL (https://www.pgdlisboa.pt/leis/lei_mostra_articulado.php?nid=3100&amp;tabela=leis) e ficheiro do repositório.</w:t>
      </w:r>
    </w:p>
    <w:p>
      <w:pPr>
        <w:pStyle w:val="ListBullet"/>
      </w:pPr>
      <w:r>
        <w:t>Regulamento (UE) 2016/429, anexo I — texto EN (legislation.gov.uk, versão originalmente adotada).</w:t>
      </w:r>
    </w:p>
    <w:p>
      <w:pPr>
        <w:pStyle w:val="ListBullet"/>
      </w:pPr>
      <w:r>
        <w:t>Regulamento (UE) 2026/1818 — texto publicado no JO (EN e PT), ficheiros do repositório.</w:t>
      </w:r>
    </w:p>
    <w:p>
      <w:pPr>
        <w:pStyle w:val="ListBullet"/>
      </w:pPr>
      <w:r>
        <w:t>ICNF — Manual de Normas e Procedimentos da DAN, rev. 01.2023 (https://www.icnf.pt/api/file/doc/6b74c5b3f05d24b6).</w:t>
      </w:r>
    </w:p>
    <w:p>
      <w:pPr>
        <w:pStyle w:val="ListBullet"/>
      </w:pPr>
      <w:r>
        <w:t>ICNF — Espécies exóticas ocorrentes em Portugal Continental não incluídas na LNEI (https://www.icnf.pt/api/file/doc/1fb57e0009a04d41).</w:t>
      </w:r>
    </w:p>
    <w:p>
      <w:pPr>
        <w:pStyle w:val="ListBullet"/>
      </w:pPr>
      <w:r>
        <w:t>SIAC — Perguntas frequentes (https://siac.pt/pt/faq).</w:t>
      </w:r>
    </w:p>
    <w:p>
      <w:pPr>
        <w:pStyle w:val="ListBullet"/>
      </w:pPr>
      <w:r>
        <w:t>Diploma final @rgac (versão: RGAC_Rev. DAJA _V1_06_2026) — trabalho em curso.</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