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1.42</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0"/>
        <w:ind w:left="567"/>
      </w:pPr>
      <w:r>
        <w:rPr>
          <w:b w:val="0"/>
          <w:i w:val="0"/>
        </w:rPr>
        <w:t>D-02. Associação titular de cão perigoso: falta a regra da licença e a adoção fica entre duas normas contrárias</w:t>
      </w:r>
    </w:p>
    <w:p>
      <w:pPr>
        <w:spacing w:after="0"/>
        <w:ind w:left="567"/>
      </w:pPr>
      <w:r>
        <w:rPr>
          <w:b w:val="0"/>
          <w:i w:val="0"/>
        </w:rPr>
        <w:t>D-03. O treino começa entre os 6 e os 12 meses, o que não serve o cão classificado como perigoso já adulto</w:t>
      </w:r>
    </w:p>
    <w:p>
      <w:pPr>
        <w:spacing w:after="0"/>
        <w:ind w:left="567"/>
      </w:pPr>
      <w:r>
        <w:rPr>
          <w:b w:val="0"/>
          <w:i w:val="0"/>
        </w:rPr>
        <w:t>D-04. Na cedência de cão perigoso, o cedente não informa nem entrega nada, e o novo detentor fica com o atraso</w:t>
      </w:r>
    </w:p>
    <w:p>
      <w:pPr>
        <w:spacing w:after="0"/>
        <w:ind w:left="567"/>
      </w:pPr>
      <w:r>
        <w:rPr>
          <w:b w:val="0"/>
          <w:i w:val="0"/>
        </w:rPr>
        <w:t>D-05. O registo do treino no SIAC fica sem perfil de acesso, sem coima e sem regime transitório</w:t>
      </w:r>
    </w:p>
    <w:p>
      <w:pPr>
        <w:spacing w:after="0"/>
        <w:ind w:left="567"/>
      </w:pPr>
      <w:r>
        <w:rPr>
          <w:b w:val="0"/>
          <w:i w:val="0"/>
        </w:rPr>
        <w:t>D-06. Nada diz quem decide se um cão é cruzamento de raça potencialmente perigosa, com que critério, nem como se contesta</w:t>
      </w:r>
    </w:p>
    <w:p>
      <w:pPr>
        <w:spacing w:after="0"/>
        <w:ind w:left="567"/>
      </w:pPr>
      <w:r>
        <w:rPr>
          <w:b w:val="0"/>
          <w:i w:val="0"/>
        </w:rPr>
        <w:t>D-07. A certificação dos treinadores inclui defesa e mordedura, e nada diz o que o treino do cão deve atingir nem como se avalia</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0"/>
        <w:ind w:left="567"/>
      </w:pPr>
      <w:r>
        <w:rPr>
          <w:b w:val="0"/>
          <w:i w:val="0"/>
        </w:rPr>
        <w:t>S-05. O RGAC não se articula com o regime nacional dos controlos oficiais do DL 103/2026</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D-02.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 art. 110.º, n.ºs 1 e 3; art. 81.º, n.ºs 2 e 3; art. 127.º, n.º 4; DL 315/2009, art. 3.º, al. f), art. 5.º, n.º 1, e art. 20.º, n.º 4; DL 82/2019, art. 9.º, n.º 5, e art. 27.º, n.ºs 1 e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T-08, D-01</w:t>
            </w:r>
          </w:p>
        </w:tc>
      </w:tr>
    </w:tbl>
    <w:p/>
    <w:p>
      <w:pPr>
        <w:pStyle w:val="Heading2"/>
      </w:pPr>
      <w:r>
        <w:rPr>
          <w:i w:val="0"/>
          <w:color w:val="000000"/>
        </w:rPr>
        <w:t>D-03.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 art. 122.º, n.ºs 3 a 5; art. 126.º, n.º 6; art. 135.º, n.º 2; DL 315/2009, art. 15.º, n.ºs 3 e 4, art. 21.º, art. 28.º, n.º 2, e art. 38.º, n.º 1, al. m)</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w:t>
            </w:r>
          </w:p>
        </w:tc>
      </w:tr>
    </w:tbl>
    <w:p/>
    <w:p>
      <w:pPr>
        <w:pStyle w:val="Heading2"/>
      </w:pPr>
      <w:r>
        <w:rPr>
          <w:i w:val="0"/>
          <w:color w:val="000000"/>
        </w:rPr>
        <w:t>D-04.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 art. 73.º, n.ºs 2 e 5; art. 110.º, n.º 2; DL 315/2009, art. 20.º, n.º 2, al. c); DL 82/2019, art. 13.º, n.ºs 2 a 4; DL 9/2021, art. 5.º e art. 36.º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 D-03</w:t>
            </w:r>
          </w:p>
        </w:tc>
      </w:tr>
    </w:tbl>
    <w:p/>
    <w:p>
      <w:pPr>
        <w:pStyle w:val="Heading2"/>
      </w:pPr>
      <w:r>
        <w:rPr>
          <w:i w:val="0"/>
          <w:color w:val="000000"/>
        </w:rPr>
        <w:t>D-05.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 art. 122.º, n.º 4; art. 140.º; art. 73.º, n.º 1; DL 315/2009, art. 28.º, n.ºs 1 e 2, e art. 38.º, n.º 1, als. m) e p)</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D-03, D-04</w:t>
            </w:r>
          </w:p>
        </w:tc>
      </w:tr>
    </w:tbl>
    <w:p/>
    <w:p>
      <w:pPr>
        <w:pStyle w:val="Heading2"/>
      </w:pPr>
      <w:r>
        <w:rPr>
          <w:i w:val="0"/>
          <w:color w:val="000000"/>
        </w:rPr>
        <w:t>D-06.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 art. 79.º, n.º 7; art. 126.º, n.º 3; art. 120.º, n.º 5; DL 315/2009, art. 3.º, al. c), e art. 19.º, n.º 3; Portaria 422/2004, anexo; DL 276/2001, art. 53.º,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As normas de esterilização não repetem a condição da tipologia. O art. 3.º, al. c), do DL 315/2009 só inclui os cruzamentos com outras raças quando deles resulte «uma tipologia semelhante», mas o art. 16.º, n.º 2 manda esterilizar «os cruzamentos daquelas raças entre si ou com outras» e o art. 19.º, n.º 3 «os resultantes dos cruzamentos daquelas raças entre si e destas com outras», sem essa condição. O RGAC repete a fórmula (art. 126.º, n.º 3). Um cão com um progenitor de raça listada, mas sem a tipologia, fica com a esterilização em dúvida.</w:t>
            </w:r>
          </w:p>
          <w:p>
            <w:pPr>
              <w:spacing w:after="60"/>
            </w:pPr>
            <w:r>
              <w:rPr>
                <w:b w:val="0"/>
                <w:sz w:val="20"/>
              </w:rPr>
              <w:t>Nada diz que valor tem uma avaliação morfológica feita no estrangeiro. O cão que entra de outro país e fica 120 dias ou mais é registado no SIAC por quem o regista em Portugal (DL 82/2019, art. 11.º, n.ºs 1 e 2), e o cão das raças listadas ou cruzamento que fique mais de quatro meses é esterilizado (DL 315/2009, art. 16.º, n.º 2).</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 (iv) Alinhar o art. 126.º, n.º 3 com a definição: só os cruzamentos de que resulte tipologia semelhante. (v) Dizer que a avaliação é feita em Portugal, podendo o relatório de médico veterinário estrangeiro ser junto como elemento de prova.</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 Petição pública «Pela revisão da Legislação das Raças Potencialmente Perigosas» (subscritora: Eneida Cardoso), dirigida ao Presidente da Assembleia da República, sem data (pede a reavaliação dos critérios de definição das raças por uma comissão independente)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D-01</w:t>
            </w:r>
          </w:p>
        </w:tc>
      </w:tr>
    </w:tbl>
    <w:p/>
    <w:p>
      <w:pPr>
        <w:pStyle w:val="Heading2"/>
      </w:pPr>
      <w:r>
        <w:rPr>
          <w:i w:val="0"/>
          <w:color w:val="000000"/>
        </w:rPr>
        <w:t>D-07. A certificação dos treinadores inclui defesa e mordedura, e nada diz o que o treino do cão deve atingir nem como se avalia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133.º, n.ºs 2 e 3; art. 128.º, n.º 1; art. 9.º, n.º 1, al. g); Portaria 317/2015, Anexo II, art. 3.º, n.º 3; DL 315/2009, art. 21.º, n.º 1, e art. 28.º, n.º 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a prova de certificação dos treinadores de cães perigosos e potencialmente perigosos inclui «Noções básicas de figurância» e duas matérias de controlo e mordedura de cães em defesa (Portaria 317/2015, Anexo II, art. 3.º, n.º 3, als. e), h) e i)). São matérias de cães de trabalho e de defesa. O treino que a lei exige ao detentor é de «socialização e obediência» (DL 315/2009, art. 21.º, n.º 1).</w:t>
            </w:r>
          </w:p>
          <w:p>
            <w:pPr>
              <w:spacing w:after="60"/>
            </w:pPr>
            <w:r>
              <w:rPr>
                <w:b w:val="0"/>
                <w:sz w:val="20"/>
              </w:rPr>
              <w:t>A lei não diz o que o treino do cão deve atingir nem como se avalia. O treinador emite um documento quando o treino é «concluído com aproveitamento» (DL 315/2009, art. 28.º, n.º 2), sem critério legal de aproveitamento. A petição pública «Pela revisão da Legislação das Raças Potencialmente Perigosas» diz que, na prática, o cão faz uma prova de obediência desportiva (BH), com exercícios sem trela, e que a lei «não contempla em que momento é avaliado o cão de cada detentor».</w:t>
            </w:r>
          </w:p>
          <w:p>
            <w:pPr>
              <w:spacing w:after="60"/>
            </w:pPr>
            <w:r>
              <w:rPr>
                <w:b w:val="0"/>
                <w:sz w:val="20"/>
              </w:rPr>
              <w:t>O RGAC mantém o regime. O art. 133.º, n.º 3 diz que o modelo de provas e a avaliação dos candidatos «são os definidos na Portaria n.º 317/2015 de 30 de setembro», o que fixa a Portaria no decreto-lei. O art. 128.º, n.º 1 mantém o treino de socialização e obediência sem objetivos nem avaliação. O art. 9.º, n.º 1 já proíbe no treino os equipamentos que causem dor ou sofrimento, incluindo as coleiras de choque (al. g)), um dos pedidos da petição.</w:t>
            </w:r>
          </w:p>
        </w:tc>
      </w:tr>
      <w:tr>
        <w:tc>
          <w:tcPr>
            <w:tcW w:w="1984" w:type="dxa"/>
          </w:tcPr>
          <w:p>
            <w:pPr>
              <w:spacing w:after="60"/>
            </w:pPr>
            <w:r/>
            <w:r>
              <w:rPr>
                <w:b/>
                <w:sz w:val="20"/>
              </w:rPr>
              <w:t>Proposta</w:t>
            </w:r>
          </w:p>
        </w:tc>
        <w:tc>
          <w:tcPr>
            <w:tcW w:w="7087" w:type="dxa"/>
          </w:tcPr>
          <w:p>
            <w:pPr>
              <w:spacing w:after="60"/>
            </w:pPr>
            <w:r/>
            <w:r>
              <w:rPr>
                <w:b w:val="0"/>
                <w:sz w:val="20"/>
              </w:rPr>
              <w:t>(i) No art. 133.º, n.º 3, remeter para portaria a aprovar, em vez de fixar a Portaria 317/2015, e rever as matérias da prova: retirar o trabalho de defesa e mordedura e reforçar comportamento, socialização e métodos sem coação. (ii) No art. 128.º, fixar por portaria os objetivos do treino do cão (socialização, controlo em situações do dia a dia, resposta do detentor) e o modo de avaliação, adaptado à idade e ao estado de saúde do animal. (iii) Ouvir entidades com formação em comportamento animal, como pede a petição.</w:t>
            </w:r>
          </w:p>
        </w:tc>
      </w:tr>
      <w:tr>
        <w:tc>
          <w:tcPr>
            <w:tcW w:w="1984" w:type="dxa"/>
          </w:tcPr>
          <w:p>
            <w:pPr>
              <w:spacing w:after="60"/>
            </w:pPr>
            <w:r/>
            <w:r>
              <w:rPr>
                <w:b/>
                <w:sz w:val="20"/>
              </w:rPr>
              <w:t>Quem levantou</w:t>
            </w:r>
          </w:p>
        </w:tc>
        <w:tc>
          <w:tcPr>
            <w:tcW w:w="7087" w:type="dxa"/>
          </w:tcPr>
          <w:p>
            <w:pPr>
              <w:spacing w:after="60"/>
            </w:pPr>
            <w:r/>
            <w:r>
              <w:rPr>
                <w:b w:val="0"/>
                <w:sz w:val="20"/>
              </w:rPr>
              <w:t>Petição pública «Pela revisão da Legislação das Raças Potencialmente Perigosas» (subscritora: Eneida Cardoso), dirigida ao Presidente da Assembleia da República, sem data; Análise interna (23.10.2026)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D-03, D-05</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p>
            <w:pPr>
              <w:spacing w:after="60"/>
            </w:pPr>
            <w:r>
              <w:rPr>
                <w:b w:val="0"/>
                <w:sz w:val="20"/>
              </w:rPr>
              <w:t>O DL 103/2026, art. 7.º, em vigor desde 21.7.2026, resolve parte do problema para os operadores: nos controlos oficiais do Regulamento (UE) 2017/625, obriga-os a facultar o acesso aos documentos, livros e registos e a cooperar, e pune a recusa como contraordenação económica grave (art. 13.º, n.º 1, al. a)). Não abrange os terceiros que detêm os dados (entidade gestora do LOP, plataformas em linha, centros de atendimento médico-veterinário) nem os pedidos feitos ao abrigo de normas nacionais fora do controlo oficial. Ver S-05.</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S-05</w:t>
            </w:r>
          </w:p>
        </w:tc>
      </w:tr>
    </w:tbl>
    <w:p/>
    <w:p>
      <w:pPr>
        <w:pStyle w:val="Heading2"/>
      </w:pPr>
      <w:r>
        <w:rPr>
          <w:i w:val="0"/>
          <w:color w:val="000000"/>
        </w:rPr>
        <w:t>S-05. O RGAC não se articula com o regime nacional dos controlos oficiais do DL 103/2026</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142.º, n.º 3; art. 144.º; art. 3.º, definição de «Autoridade competente»; art. 2.º, n.º 4; art. 55.º, n.º 1; DL 103/2026, arts. 3.º, 6.º, 7.º, 9.º, 13.º e 15.º; Portaria n.º 304-A/2026/1, arts. 2.º, n.º 5, e 3.º,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Decreto-Lei n.º 103/2026, de 22 de maio, em vigor desde 21.7.2026, assegura a execução nacional do Regulamento (UE) 2017/625, o regulamento dos controlos oficiais, nos domínios das als. a) a f) e h) do art. 1.º, n.º 2, desse regulamento. A al. f) é o bem-estar animal. A DGAV é a autoridade competente, «Sem prejuízo das competências atribuídas por lei a outras entidades» (art. 3.º, n.º 1), e pode delegar tarefas de controlo oficial em organismos delegados ou pessoas singulares, por despacho do diretor-geral (art. 6.º). O diploma revoga o DL 178/2008 e a Portaria n.º 1073/2008. As taxas foram fixadas pela Portaria n.º 304-A/2026/1, de 20 de julho.</w:t>
            </w:r>
          </w:p>
          <w:p>
            <w:pPr>
              <w:spacing w:after="60"/>
            </w:pPr>
            <w:r>
              <w:rPr>
                <w:b w:val="0"/>
                <w:sz w:val="20"/>
              </w:rPr>
              <w:t>O Regulamento (UE) 2026/1818 entrega os controlos oficiais a esse regime. O considerando 32 diz que o regulamento é «um exemplo de legislação da União no domínio dos requisitos em matéria de bem-estar dos animais referidos no artigo 1.º, n.º 2, alínea f), do Regulamento (UE) 2017/625» e que os requisitos deste «aplicam-se em complemento dos previstos no presente regulamento». O art. 4.º, al. u), define «Autoridades competentes» por remissão para o art. 3.º, ponto 3, do Regulamento (UE) 2017/625, isto é, as autoridades que o Estado-Membro designar nos termos do art. 4.º desse regulamento. Em Portugal, hoje, é a DGAV.</w:t>
            </w:r>
          </w:p>
          <w:p>
            <w:pPr>
              <w:spacing w:after="60"/>
            </w:pPr>
            <w:r>
              <w:rPr>
                <w:b w:val="0"/>
                <w:sz w:val="20"/>
              </w:rPr>
              <w:t>O RGAC executa o Regulamento (UE) 2026/1818 (art. 2.º, n.º 4), mas define «Autoridade competente» no art. 3.º como a DGAV, o MVM, o médico-veterinário ao serviço do município, a câmara municipal, a junta de freguesia, o ICNF, I. P., a GNR, a PSP, a PM e a Polícia Marítima, e o art. 138.º, n.º 1, junta a ASAE na fiscalização. O RGAC não diz qual destas entidades é a autoridade competente para efeitos do Regulamento (aprovação de estabelecimentos, certificação de tratadores, bases de dados, dados do anexo III, relatório anual do art. 113.º do Regulamento (UE) 2017/625), nem se a atuação das câmaras, dos MVM e das polícias é controlo oficial, sujeito ao Plano Nacional de Controlo Plurianual (DL 103/2026, art. 5.º) e à delegação do art. 6.º, ou fiscalização nacional fora desse regime. O DL 103/2026 não é citado em nenhum artigo do RGAC.</w:t>
            </w:r>
          </w:p>
          <w:p>
            <w:pPr>
              <w:spacing w:after="60"/>
            </w:pPr>
            <w:r>
              <w:rPr>
                <w:b w:val="0"/>
                <w:sz w:val="20"/>
              </w:rPr>
              <w:t>Na obstrução e nos deveres de colaboração há dois regimes para o mesmo facto. Para os operadores sujeitos a controlo oficial, o DL 103/2026, art. 7.º, obriga a facultar o acesso às instalações, aos sistemas informáticos, aos animais e aos registos e a cooperar com as autoridades. Em caso de recusa ou obstrução, a autoridade «solicita a imediata colaboração das forças de segurança para remover a obstrução» (n.º 4). O incumprimento é contraordenação económica grave do RJCE (art. 13.º, n.º 1, al. a)), instruída pela DGAV ou pela ASAE (art. 15.º). O RGAC responde à obstrução com o mandado judicial de acesso e remoção (art. 138.º, n.º 3) e pune «A oposição ou a criação de obstáculos à execução de medida prevista no presente diploma» como contraordenação do art. 140.º, n.º 2, com coima de 150 a 3 740 euros para pessoa singular e de 150 a 44 890 euros para pessoa coletiva, instruída pela DGAV (art. 142.º, n.º 3) e com direito subsidiário do DL 433/82 (art. 144.º). Nos estabelecimentos de criação, nos de venda, nos CRO e nos abrigos, os dois regimes aplicam-se ao mesmo facto, com molduras, entidades instrutoras e regime geral diferentes. Os terceiros que detêm dados ficam fora dos dois (ver S-04).</w:t>
            </w:r>
          </w:p>
          <w:p>
            <w:pPr>
              <w:spacing w:after="60"/>
            </w:pPr>
            <w:r>
              <w:rPr>
                <w:b w:val="0"/>
                <w:sz w:val="20"/>
              </w:rPr>
              <w:t>As taxas sobrepõem-se. O RGAC, art. 55.º, n.º 1, prevê taxas «Pelos atos e serviços relativos aos procedimentos previstos no presente diploma», a fixar por portaria. O DL 103/2026, art. 9.º, prevê taxas pelos controlos oficiais e outras atividades oficiais e só afasta, no n.º 4, os «atos realizados para efeitos de aprovação dos estabelecimentos no âmbito de processos de licenciamento cuja legislação prevê uma taxa específica». A Portaria n.º 304-A/2026/1 cobra taxa pela aprovação de estabelecimentos quando a legislação do licenciamento não tem taxa própria (art. 2.º, n.º 5) e pelos controlos oficiais não planeados e diligências após incumprimento (art. 3.º, n.º 2). Sem ressalva no RGAC, um estabelecimento aprovado ao abrigo do RGAC e controlado ao abrigo do Regulamento (UE) 2017/625 pode pagar as duas taxas pelo mesmo ato.</w:t>
            </w:r>
          </w:p>
          <w:p>
            <w:pPr>
              <w:spacing w:after="60"/>
            </w:pPr>
            <w:r>
              <w:rPr>
                <w:b w:val="0"/>
                <w:sz w:val="20"/>
              </w:rPr>
              <w:t>Fica também um sistema a três no regime geral das contraordenações. As contraordenações do DL 276/2001 são contraordenações económicas do RJCE (art. 68.º, na redação do DL 9/2021). O DL 103/2026 segue o RJCE (art. 13.º, n.º 4). O RGAC volta ao regime geral do DL 433/82 (art. 144.º), com coimas próprias. Ver S-02, quanto às medidas cautelares, e S-03, quanto às sanções acessórias.</w:t>
            </w:r>
          </w:p>
        </w:tc>
      </w:tr>
      <w:tr>
        <w:tc>
          <w:tcPr>
            <w:tcW w:w="1984" w:type="dxa"/>
          </w:tcPr>
          <w:p>
            <w:pPr>
              <w:spacing w:after="60"/>
            </w:pPr>
            <w:r/>
            <w:r>
              <w:rPr>
                <w:b/>
                <w:sz w:val="20"/>
              </w:rPr>
              <w:t>Proposta</w:t>
            </w:r>
          </w:p>
        </w:tc>
        <w:tc>
          <w:tcPr>
            <w:tcW w:w="7087" w:type="dxa"/>
          </w:tcPr>
          <w:p>
            <w:pPr>
              <w:spacing w:after="60"/>
            </w:pPr>
            <w:r/>
            <w:r>
              <w:rPr>
                <w:b w:val="0"/>
                <w:sz w:val="20"/>
              </w:rPr>
              <w:t>Aditar ao art. 138.º um número a dizer que os controlos oficiais do cumprimento do Regulamento (UE) 2026/1818, e das normas do RGAC que o executam, se regem pelo Regulamento (UE) 2017/625 e pelo DL 103/2026, que a DGAV é a autoridade competente para esse efeito e que pode delegar tarefas de controlo oficial nos termos do art. 6.º do DL 103/2026, nomeadamente nos médicos-veterinários municipais. Dizer no art. 3.º que a definição de «Autoridade competente» não prejudica essa designação. Resolver o concurso de normas: ou o art. 140.º exclui os factos punidos pelo DL 103/2026, art. 13.º, ou o RGAC adota para os operadores o dever de colaboração e a sanção desse diploma e reserva o mandado judicial do art. 138.º, n.º 3, para os detentores particulares. No art. 55.º, ressalvar as taxas devidas pelos controlos oficiais ao abrigo do DL 103/2026 e da Portaria n.º 304-A/2026/1, para evitar dupla cobrança pelo mesmo ato. Decidir o regime geral das contraordenações, RJCE ou DL 433/82, e aplicá-lo a todo o capítulo XV.</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da entrada do DL 103/2026 na pasta de legislação vigente do repositório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S-04, S-02, S-03</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90"/>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D-02</w:t>
            </w:r>
          </w:p>
        </w:tc>
        <w:tc>
          <w:tcPr>
            <w:tcW w:w="5216" w:type="dxa"/>
          </w:tcPr>
          <w:p>
            <w:pPr>
              <w:spacing w:after="60"/>
            </w:pPr>
            <w:r/>
            <w:r>
              <w:rPr>
                <w:b w:val="0"/>
                <w:sz w:val="20"/>
              </w:rPr>
              <w:t>Associação titular de cão perigoso: falta a regra da licença e a adoção fica entre duas normas contrárias</w:t>
            </w:r>
          </w:p>
        </w:tc>
        <w:tc>
          <w:tcPr>
            <w:tcW w:w="3969" w:type="dxa"/>
          </w:tcPr>
          <w:p>
            <w:pPr>
              <w:spacing w:after="60"/>
            </w:pPr>
            <w:r/>
            <w:r>
              <w:rPr>
                <w:b w:val="0"/>
                <w:sz w:val="20"/>
              </w:rPr>
              <w:t>art. 69.º, n.ºs 6 e 7</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D-03</w:t>
            </w:r>
          </w:p>
        </w:tc>
        <w:tc>
          <w:tcPr>
            <w:tcW w:w="5216" w:type="dxa"/>
          </w:tcPr>
          <w:p>
            <w:pPr>
              <w:spacing w:after="60"/>
            </w:pPr>
            <w:r/>
            <w:r>
              <w:rPr>
                <w:b w:val="0"/>
                <w:sz w:val="20"/>
              </w:rPr>
              <w:t>O treino começa entre os 6 e os 12 meses, o que não serve o cão classificado como perigoso já adulto</w:t>
            </w:r>
          </w:p>
        </w:tc>
        <w:tc>
          <w:tcPr>
            <w:tcW w:w="3969" w:type="dxa"/>
          </w:tcPr>
          <w:p>
            <w:pPr>
              <w:spacing w:after="60"/>
            </w:pPr>
            <w:r/>
            <w:r>
              <w:rPr>
                <w:b w:val="0"/>
                <w:sz w:val="20"/>
              </w:rPr>
              <w:t>art. 128.º,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D-04</w:t>
            </w:r>
          </w:p>
        </w:tc>
        <w:tc>
          <w:tcPr>
            <w:tcW w:w="5216" w:type="dxa"/>
          </w:tcPr>
          <w:p>
            <w:pPr>
              <w:spacing w:after="60"/>
            </w:pPr>
            <w:r/>
            <w:r>
              <w:rPr>
                <w:b w:val="0"/>
                <w:sz w:val="20"/>
              </w:rPr>
              <w:t>Na cedência de cão perigoso, o cedente não informa nem entrega nada, e o novo detentor fica com o atraso</w:t>
            </w:r>
          </w:p>
        </w:tc>
        <w:tc>
          <w:tcPr>
            <w:tcW w:w="3969" w:type="dxa"/>
          </w:tcPr>
          <w:p>
            <w:pPr>
              <w:spacing w:after="60"/>
            </w:pPr>
            <w:r/>
            <w:r>
              <w:rPr>
                <w:b w:val="0"/>
                <w:sz w:val="20"/>
              </w:rPr>
              <w:t>art. 127.º, n.ºs 2 e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D-05</w:t>
            </w:r>
          </w:p>
        </w:tc>
        <w:tc>
          <w:tcPr>
            <w:tcW w:w="5216" w:type="dxa"/>
          </w:tcPr>
          <w:p>
            <w:pPr>
              <w:spacing w:after="60"/>
            </w:pPr>
            <w:r/>
            <w:r>
              <w:rPr>
                <w:b w:val="0"/>
                <w:sz w:val="20"/>
              </w:rPr>
              <w:t>O registo do treino no SIAC fica sem perfil de acesso, sem coima e sem regime transitório</w:t>
            </w:r>
          </w:p>
        </w:tc>
        <w:tc>
          <w:tcPr>
            <w:tcW w:w="3969" w:type="dxa"/>
          </w:tcPr>
          <w:p>
            <w:pPr>
              <w:spacing w:after="60"/>
            </w:pPr>
            <w:r/>
            <w:r>
              <w:rPr>
                <w:b w:val="0"/>
                <w:sz w:val="20"/>
              </w:rPr>
              <w:t>art. 135.º,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D-06</w:t>
            </w:r>
          </w:p>
        </w:tc>
        <w:tc>
          <w:tcPr>
            <w:tcW w:w="5216" w:type="dxa"/>
          </w:tcPr>
          <w:p>
            <w:pPr>
              <w:spacing w:after="60"/>
            </w:pPr>
            <w:r/>
            <w:r>
              <w:rPr>
                <w:b w:val="0"/>
                <w:sz w:val="20"/>
              </w:rPr>
              <w:t>Nada diz quem decide se um cão é cruzamento de raça potencialmente perigosa, com que critério, nem como se contesta</w:t>
            </w:r>
          </w:p>
        </w:tc>
        <w:tc>
          <w:tcPr>
            <w:tcW w:w="3969" w:type="dxa"/>
          </w:tcPr>
          <w:p>
            <w:pPr>
              <w:spacing w:after="60"/>
            </w:pPr>
            <w:r/>
            <w:r>
              <w:rPr>
                <w:b w:val="0"/>
                <w:sz w:val="20"/>
              </w:rPr>
              <w:t>art. 3.º, definição de «Animal potencialmente perigoso»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D-07</w:t>
            </w:r>
          </w:p>
        </w:tc>
        <w:tc>
          <w:tcPr>
            <w:tcW w:w="5216" w:type="dxa"/>
          </w:tcPr>
          <w:p>
            <w:pPr>
              <w:spacing w:after="60"/>
            </w:pPr>
            <w:r/>
            <w:r>
              <w:rPr>
                <w:b w:val="0"/>
                <w:sz w:val="20"/>
              </w:rPr>
              <w:t>A certificação dos treinadores inclui defesa e mordedura, e nada diz o que o treino do cão deve atingir nem como se avalia</w:t>
            </w:r>
          </w:p>
        </w:tc>
        <w:tc>
          <w:tcPr>
            <w:tcW w:w="3969" w:type="dxa"/>
          </w:tcPr>
          <w:p>
            <w:pPr>
              <w:spacing w:after="60"/>
            </w:pPr>
            <w:r/>
            <w:r>
              <w:rPr>
                <w:b w:val="0"/>
                <w:sz w:val="20"/>
              </w:rPr>
              <w:t>art. 133.º, n.ºs 2 e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S-05</w:t>
            </w:r>
          </w:p>
        </w:tc>
        <w:tc>
          <w:tcPr>
            <w:tcW w:w="5216" w:type="dxa"/>
          </w:tcPr>
          <w:p>
            <w:pPr>
              <w:spacing w:after="60"/>
            </w:pPr>
            <w:r/>
            <w:r>
              <w:rPr>
                <w:b w:val="0"/>
                <w:sz w:val="20"/>
              </w:rPr>
              <w:t>O RGAC não se articula com o regime nacional dos controlos oficiais do DL 103/2026</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59 fichas, das quais 55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temas deste memorando. Não se usam notícias de imprensa. As citações estão entre aspas e foram transcritas das fontes indicadas. A coluna Tema usa as letras da secção 1. Tema T: Titular, detentor, proprietário e operador. Tema C: Programas CED, colónias e animais errantes. Tema D: Animais perigosos e potencialmente perigosos (cap. XIV).</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Administrações estrangeiras</w:t>
            </w:r>
          </w:p>
        </w:tc>
      </w:tr>
      <w:tr>
        <w:tc>
          <w:tcPr>
            <w:tcW w:w="2835" w:type="dxa"/>
          </w:tcPr>
          <w:p>
            <w:pPr>
              <w:spacing w:after="60"/>
            </w:pPr>
            <w:r/>
            <w:r>
              <w:rPr>
                <w:b w:val="0"/>
                <w:sz w:val="20"/>
              </w:rPr>
              <w:t>Espanha, Real Decreto 287/2002, art. 2.º e anexo II (redação original) (22.3.2002)</w:t>
            </w:r>
          </w:p>
        </w:tc>
        <w:tc>
          <w:tcPr>
            <w:tcW w:w="907" w:type="dxa"/>
          </w:tcPr>
          <w:p>
            <w:pPr>
              <w:spacing w:after="60"/>
            </w:pPr>
            <w:r/>
            <w:r>
              <w:rPr>
                <w:b w:val="0"/>
                <w:sz w:val="20"/>
              </w:rPr>
              <w:t>D</w:t>
            </w:r>
          </w:p>
        </w:tc>
        <w:tc>
          <w:tcPr>
            <w:tcW w:w="6860" w:type="dxa"/>
          </w:tcPr>
          <w:p>
            <w:pPr>
              <w:spacing w:after="60"/>
            </w:pPr>
            <w:r/>
            <w:r>
              <w:rPr>
                <w:b w:val="0"/>
                <w:sz w:val="20"/>
              </w:rPr>
              <w:t>Além da lista de raças, considera potencialmente perigosos os cães com todas ou a maior parte das características morfológicas do anexo II, como o pelo curto, o perímetro torácico, a altura e o peso. Citação: «Aquellos cuyas características se correspondan con todas o la mayoría de las que figuran en el anexo II» (aqueles cujas características correspondam a todas ou à maior parte das que constam do anexo II).</w:t>
            </w:r>
          </w:p>
        </w:tc>
        <w:tc>
          <w:tcPr>
            <w:tcW w:w="3969" w:type="dxa"/>
          </w:tcPr>
          <w:p>
            <w:pPr>
              <w:spacing w:after="60"/>
            </w:pPr>
            <w:r/>
            <w:r>
              <w:rPr>
                <w:b w:val="0"/>
                <w:sz w:val="20"/>
              </w:rPr>
              <w:t>https://boe.es/boe/dias/2002/03/27/pdfs/A12290-12292.pdf</w:t>
            </w:r>
          </w:p>
        </w:tc>
      </w:tr>
      <w:tr>
        <w:tc>
          <w:tcPr>
            <w:tcW w:w="2835" w:type="dxa"/>
          </w:tcPr>
          <w:p>
            <w:pPr>
              <w:spacing w:after="60"/>
            </w:pPr>
            <w:r/>
            <w:r>
              <w:rPr>
                <w:b w:val="0"/>
                <w:sz w:val="20"/>
              </w:rPr>
              <w:t>Reino Unido, Defra, padrão de conformação do tipo XL Bully (31.10.2023)</w:t>
            </w:r>
          </w:p>
        </w:tc>
        <w:tc>
          <w:tcPr>
            <w:tcW w:w="907" w:type="dxa"/>
          </w:tcPr>
          <w:p>
            <w:pPr>
              <w:spacing w:after="60"/>
            </w:pPr>
            <w:r/>
            <w:r>
              <w:rPr>
                <w:b w:val="0"/>
                <w:sz w:val="20"/>
              </w:rPr>
              <w:t>D</w:t>
            </w:r>
          </w:p>
        </w:tc>
        <w:tc>
          <w:tcPr>
            <w:tcW w:w="6860" w:type="dxa"/>
          </w:tcPr>
          <w:p>
            <w:pPr>
              <w:spacing w:after="60"/>
            </w:pPr>
            <w:r/>
            <w:r>
              <w:rPr>
                <w:b w:val="0"/>
                <w:sz w:val="20"/>
              </w:rPr>
              <w:t>Fixa por escrito as características físicas do tipo XL Bully, para apoiar a identificação pelos tribunais e pelos agentes de fiscalização. Citação: «intended to be used by the courts and Dog Legislation Officers to support identification of the XL Bully breed type» (destina-se a ser usado pelos tribunais e pelos agentes de fiscalização para apoiar a identificação do tipo XL Bully).</w:t>
            </w:r>
          </w:p>
        </w:tc>
        <w:tc>
          <w:tcPr>
            <w:tcW w:w="3969" w:type="dxa"/>
          </w:tcPr>
          <w:p>
            <w:pPr>
              <w:spacing w:after="60"/>
            </w:pPr>
            <w:r/>
            <w:r>
              <w:rPr>
                <w:b w:val="0"/>
                <w:sz w:val="20"/>
              </w:rPr>
              <w:t>https://www.gov.uk/government/publications/official-definition-of-an-xl-bully-dog</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2835" w:type="dxa"/>
          </w:tcPr>
          <w:p>
            <w:pPr>
              <w:spacing w:after="60"/>
            </w:pPr>
            <w:r/>
            <w:r>
              <w:rPr>
                <w:b w:val="0"/>
                <w:sz w:val="20"/>
              </w:rPr>
              <w:t>Maria Joana de Antas de Barros, «O estranho caso dos cães de raça potencialmente perigosa», RJLB (2023)</w:t>
            </w:r>
          </w:p>
        </w:tc>
        <w:tc>
          <w:tcPr>
            <w:tcW w:w="907" w:type="dxa"/>
          </w:tcPr>
          <w:p>
            <w:pPr>
              <w:spacing w:after="60"/>
            </w:pPr>
            <w:r/>
            <w:r>
              <w:rPr>
                <w:b w:val="0"/>
                <w:sz w:val="20"/>
              </w:rPr>
              <w:t>D</w:t>
            </w:r>
          </w:p>
        </w:tc>
        <w:tc>
          <w:tcPr>
            <w:tcW w:w="6860" w:type="dxa"/>
          </w:tcPr>
          <w:p>
            <w:pPr>
              <w:spacing w:after="60"/>
            </w:pPr>
            <w:r/>
            <w:r>
              <w:rPr>
                <w:b w:val="0"/>
                <w:sz w:val="20"/>
              </w:rPr>
              <w:t>Critica a inclusão dos cruzamentos no regime: sem dados de ascendência a raça é difícil de determinar, sobretudo em animais errantes encaminhados para adoção, e os cruzamentos são cães sem raça definida. Citação: «se afigura de extrema dificuldade (mesmo, por vezes, para os próprios veterinários) a tarefa de determinar, com certeza e exatidão, qual a raça de determinado cão, sem a posse de qualquer dado relativo à sua ascendência».</w:t>
            </w:r>
          </w:p>
        </w:tc>
        <w:tc>
          <w:tcPr>
            <w:tcW w:w="3969" w:type="dxa"/>
          </w:tcPr>
          <w:p>
            <w:pPr>
              <w:spacing w:after="60"/>
            </w:pPr>
            <w:r/>
            <w:r>
              <w:rPr>
                <w:b w:val="0"/>
                <w:sz w:val="20"/>
              </w:rPr>
              <w:t>https://www.cidp.pt/revistas/rjlb/2023/3/2023_03_1215_1242.pdf</w:t>
            </w:r>
          </w:p>
        </w:tc>
      </w:tr>
      <w:tr>
        <w:tc>
          <w:tcPr>
            <w:tcW w:w="2835" w:type="dxa"/>
          </w:tcPr>
          <w:p>
            <w:pPr>
              <w:spacing w:after="60"/>
            </w:pPr>
            <w:r/>
            <w:r>
              <w:rPr>
                <w:b w:val="0"/>
                <w:sz w:val="20"/>
              </w:rPr>
              <w:t>Tribunal da Relação de Évora, proc. 245/19.0GCSTR.E1 (25.5.2021)</w:t>
            </w:r>
          </w:p>
        </w:tc>
        <w:tc>
          <w:tcPr>
            <w:tcW w:w="907" w:type="dxa"/>
          </w:tcPr>
          <w:p>
            <w:pPr>
              <w:spacing w:after="60"/>
            </w:pPr>
            <w:r/>
            <w:r>
              <w:rPr>
                <w:b w:val="0"/>
                <w:sz w:val="20"/>
              </w:rPr>
              <w:t>D</w:t>
            </w:r>
          </w:p>
        </w:tc>
        <w:tc>
          <w:tcPr>
            <w:tcW w:w="6860" w:type="dxa"/>
          </w:tcPr>
          <w:p>
            <w:pPr>
              <w:spacing w:after="60"/>
            </w:pPr>
            <w:r/>
            <w:r>
              <w:rPr>
                <w:b w:val="0"/>
                <w:sz w:val="20"/>
              </w:rPr>
              <w:t>Um cão de raça indeterminada e de grande porte fica fora do regime dos animais potencialmente perigosos. O acórdão não aprecia a tipologia. Citação: «por possuir raça indeterminada, não está incluído em nenhuma das raças previamente definidas como potencialmente perigosas em Portaria do Governo».</w:t>
            </w:r>
          </w:p>
        </w:tc>
        <w:tc>
          <w:tcPr>
            <w:tcW w:w="3969" w:type="dxa"/>
          </w:tcPr>
          <w:p>
            <w:pPr>
              <w:spacing w:after="60"/>
            </w:pPr>
            <w:r/>
            <w:r>
              <w:rPr>
                <w:b w:val="0"/>
                <w:sz w:val="20"/>
              </w:rPr>
              <w:t>https://jurisprudencia.pt/acordao/200915/</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r>
        <w:tc>
          <w:tcPr>
            <w:tcW w:w="14570" w:type="dxa"/>
            <w:gridSpan w:val="4"/>
          </w:tcPr>
          <w:p>
            <w:pPr>
              <w:spacing w:after="60"/>
            </w:pPr>
            <w:r/>
            <w:r>
              <w:rPr>
                <w:b/>
                <w:sz w:val="20"/>
              </w:rPr>
              <w:t>Petições e cidadãos</w:t>
            </w:r>
          </w:p>
        </w:tc>
      </w:tr>
      <w:tr>
        <w:tc>
          <w:tcPr>
            <w:tcW w:w="2835" w:type="dxa"/>
          </w:tcPr>
          <w:p>
            <w:pPr>
              <w:spacing w:after="60"/>
            </w:pPr>
            <w:r/>
            <w:r>
              <w:rPr>
                <w:b w:val="0"/>
                <w:sz w:val="20"/>
              </w:rPr>
              <w:t>Petição pública «Pela revisão da Legislação das Raças Potencialmente Perigosas» (subscritora: Eneida Cardoso) (sem data)</w:t>
            </w:r>
          </w:p>
        </w:tc>
        <w:tc>
          <w:tcPr>
            <w:tcW w:w="907" w:type="dxa"/>
          </w:tcPr>
          <w:p>
            <w:pPr>
              <w:spacing w:after="60"/>
            </w:pPr>
            <w:r/>
            <w:r>
              <w:rPr>
                <w:b w:val="0"/>
                <w:sz w:val="20"/>
              </w:rPr>
              <w:t>D</w:t>
            </w:r>
          </w:p>
        </w:tc>
        <w:tc>
          <w:tcPr>
            <w:tcW w:w="6860" w:type="dxa"/>
          </w:tcPr>
          <w:p>
            <w:pPr>
              <w:spacing w:after="60"/>
            </w:pPr>
            <w:r/>
            <w:r>
              <w:rPr>
                <w:b w:val="0"/>
                <w:sz w:val="20"/>
              </w:rPr>
              <w:t>Contesta a lista de raças e os critérios de tamanho e potência de mandíbula, e pede que os critérios sejam reavaliados por uma comissão independente. Critica a formação de 4 horas dos detentores, a certificação dos treinadores pela GNR e pela PSP e a prova de obediência desportiva exigida aos cães. Não trata da tipologia dos cruzamentos. Citação: «Reavaliação dos critérios e implicações subjacentes à definição de raças de cães perigosos e potencialmente perigosos através da criação de uma comissão independente e técnico-cientificamente validada».</w:t>
            </w:r>
          </w:p>
        </w:tc>
        <w:tc>
          <w:tcPr>
            <w:tcW w:w="3969" w:type="dxa"/>
          </w:tcPr>
          <w:p>
            <w:pPr>
              <w:spacing w:after="60"/>
            </w:pPr>
            <w:r/>
            <w:r>
              <w:rPr>
                <w:b w:val="0"/>
                <w:sz w:val="20"/>
              </w:rPr>
              <w:t>repositório: Projetos de lei/Petição - Pela revisão da Legislação das Raças Potencialmente Perigosas.pdf</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701" w:type="dxa"/>
          </w:tcPr>
          <w:p>
            <w:pPr>
              <w:spacing w:after="60"/>
            </w:pPr>
            <w:r/>
            <w:r>
              <w:rPr>
                <w:b w:val="0"/>
                <w:sz w:val="20"/>
              </w:rPr>
              <w:t>art. 130, art. 131, art. 132, art. 134</w:t>
            </w:r>
          </w:p>
        </w:tc>
        <w:tc>
          <w:tcPr>
            <w:tcW w:w="6236"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p>
      <w:r>
        <w:rPr>
          <w:b w:val="0"/>
          <w:i w:val="0"/>
        </w:rPr>
        <w:t>Total: 22 lapsos, dos quais 22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22</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17</w:t>
            </w:r>
          </w:p>
        </w:tc>
        <w:tc>
          <w:tcPr>
            <w:tcW w:w="1701" w:type="dxa"/>
          </w:tcPr>
          <w:p>
            <w:pPr>
              <w:spacing w:after="60"/>
            </w:pPr>
            <w:r/>
            <w:r>
              <w:rPr>
                <w:b w:val="0"/>
                <w:sz w:val="20"/>
              </w:rPr>
              <w:t>10</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70</w:t>
            </w:r>
          </w:p>
        </w:tc>
        <w:tc>
          <w:tcPr>
            <w:tcW w:w="1701" w:type="dxa"/>
          </w:tcPr>
          <w:p>
            <w:pPr>
              <w:spacing w:after="60"/>
            </w:pPr>
            <w:r/>
            <w:r>
              <w:rPr>
                <w:b/>
                <w:sz w:val="20"/>
              </w:rPr>
              <w:t>83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S-05,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 D-06, S-05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 D-07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Parcial</w:t>
            </w:r>
          </w:p>
        </w:tc>
        <w:tc>
          <w:tcPr>
            <w:tcW w:w="2268" w:type="dxa"/>
          </w:tcPr>
          <w:p>
            <w:pPr>
              <w:spacing w:after="60"/>
            </w:pPr>
            <w:r/>
            <w:r>
              <w:rPr>
                <w:b w:val="0"/>
                <w:sz w:val="20"/>
              </w:rPr>
              <w:t>S-05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 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D-04, D-05,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D-02, 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D-02, D-04,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 D-03,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D-02, D-04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D-03, D-07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Parcial</w:t>
            </w:r>
          </w:p>
        </w:tc>
        <w:tc>
          <w:tcPr>
            <w:tcW w:w="2268" w:type="dxa"/>
          </w:tcPr>
          <w:p>
            <w:pPr>
              <w:spacing w:after="60"/>
            </w:pPr>
            <w:r/>
            <w:r>
              <w:rPr>
                <w:b w:val="0"/>
                <w:sz w:val="20"/>
              </w:rPr>
              <w:t>D-07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 S-05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D-05, S-01, S-04, S-05,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S-05, 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 S-05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020" w:type="dxa"/>
          </w:tcPr>
          <w:p>
            <w:pPr>
              <w:spacing w:after="60"/>
            </w:pPr>
            <w:r/>
            <w:r>
              <w:rPr>
                <w:b w:val="0"/>
                <w:sz w:val="20"/>
              </w:rPr>
              <w:t>1.32</w:t>
            </w:r>
          </w:p>
        </w:tc>
        <w:tc>
          <w:tcPr>
            <w:tcW w:w="1417" w:type="dxa"/>
          </w:tcPr>
          <w:p>
            <w:pPr>
              <w:spacing w:after="60"/>
            </w:pPr>
            <w:r/>
            <w:r>
              <w:rPr>
                <w:b w:val="0"/>
                <w:sz w:val="20"/>
              </w:rPr>
              <w:t>22.10.2026</w:t>
            </w:r>
          </w:p>
        </w:tc>
        <w:tc>
          <w:tcPr>
            <w:tcW w:w="6633"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020" w:type="dxa"/>
          </w:tcPr>
          <w:p>
            <w:pPr>
              <w:spacing w:after="60"/>
            </w:pPr>
            <w:r/>
            <w:r>
              <w:rPr>
                <w:b w:val="0"/>
                <w:sz w:val="20"/>
              </w:rPr>
              <w:t>1.33</w:t>
            </w:r>
          </w:p>
        </w:tc>
        <w:tc>
          <w:tcPr>
            <w:tcW w:w="1417" w:type="dxa"/>
          </w:tcPr>
          <w:p>
            <w:pPr>
              <w:spacing w:after="60"/>
            </w:pPr>
            <w:r/>
            <w:r>
              <w:rPr>
                <w:b w:val="0"/>
                <w:sz w:val="20"/>
              </w:rPr>
              <w:t>23.10.2026</w:t>
            </w:r>
          </w:p>
        </w:tc>
        <w:tc>
          <w:tcPr>
            <w:tcW w:w="6633"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020" w:type="dxa"/>
          </w:tcPr>
          <w:p>
            <w:pPr>
              <w:spacing w:after="60"/>
            </w:pPr>
            <w:r/>
            <w:r>
              <w:rPr>
                <w:b w:val="0"/>
                <w:sz w:val="20"/>
              </w:rPr>
              <w:t>1.34</w:t>
            </w:r>
          </w:p>
        </w:tc>
        <w:tc>
          <w:tcPr>
            <w:tcW w:w="1417" w:type="dxa"/>
          </w:tcPr>
          <w:p>
            <w:pPr>
              <w:spacing w:after="60"/>
            </w:pPr>
            <w:r/>
            <w:r>
              <w:rPr>
                <w:b w:val="0"/>
                <w:sz w:val="20"/>
              </w:rPr>
              <w:t>23.10.2026</w:t>
            </w:r>
          </w:p>
        </w:tc>
        <w:tc>
          <w:tcPr>
            <w:tcW w:w="6633"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020" w:type="dxa"/>
          </w:tcPr>
          <w:p>
            <w:pPr>
              <w:spacing w:after="60"/>
            </w:pPr>
            <w:r/>
            <w:r>
              <w:rPr>
                <w:b w:val="0"/>
                <w:sz w:val="20"/>
              </w:rPr>
              <w:t>1.35</w:t>
            </w:r>
          </w:p>
        </w:tc>
        <w:tc>
          <w:tcPr>
            <w:tcW w:w="1417" w:type="dxa"/>
          </w:tcPr>
          <w:p>
            <w:pPr>
              <w:spacing w:after="60"/>
            </w:pPr>
            <w:r/>
            <w:r>
              <w:rPr>
                <w:b w:val="0"/>
                <w:sz w:val="20"/>
              </w:rPr>
              <w:t>23.10.2026</w:t>
            </w:r>
          </w:p>
        </w:tc>
        <w:tc>
          <w:tcPr>
            <w:tcW w:w="6633"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020" w:type="dxa"/>
          </w:tcPr>
          <w:p>
            <w:pPr>
              <w:spacing w:after="60"/>
            </w:pPr>
            <w:r/>
            <w:r>
              <w:rPr>
                <w:b w:val="0"/>
                <w:sz w:val="20"/>
              </w:rPr>
              <w:t>1.36</w:t>
            </w:r>
          </w:p>
        </w:tc>
        <w:tc>
          <w:tcPr>
            <w:tcW w:w="1417" w:type="dxa"/>
          </w:tcPr>
          <w:p>
            <w:pPr>
              <w:spacing w:after="60"/>
            </w:pPr>
            <w:r/>
            <w:r>
              <w:rPr>
                <w:b w:val="0"/>
                <w:sz w:val="20"/>
              </w:rPr>
              <w:t>23.10.2026</w:t>
            </w:r>
          </w:p>
        </w:tc>
        <w:tc>
          <w:tcPr>
            <w:tcW w:w="6633"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020" w:type="dxa"/>
          </w:tcPr>
          <w:p>
            <w:pPr>
              <w:spacing w:after="60"/>
            </w:pPr>
            <w:r/>
            <w:r>
              <w:rPr>
                <w:b w:val="0"/>
                <w:sz w:val="20"/>
              </w:rPr>
              <w:t>1.37</w:t>
            </w:r>
          </w:p>
        </w:tc>
        <w:tc>
          <w:tcPr>
            <w:tcW w:w="1417" w:type="dxa"/>
          </w:tcPr>
          <w:p>
            <w:pPr>
              <w:spacing w:after="60"/>
            </w:pPr>
            <w:r/>
            <w:r>
              <w:rPr>
                <w:b w:val="0"/>
                <w:sz w:val="20"/>
              </w:rPr>
              <w:t>23.10.2026</w:t>
            </w:r>
          </w:p>
        </w:tc>
        <w:tc>
          <w:tcPr>
            <w:tcW w:w="6633"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020" w:type="dxa"/>
          </w:tcPr>
          <w:p>
            <w:pPr>
              <w:spacing w:after="60"/>
            </w:pPr>
            <w:r/>
            <w:r>
              <w:rPr>
                <w:b w:val="0"/>
                <w:sz w:val="20"/>
              </w:rPr>
              <w:t>1.38</w:t>
            </w:r>
          </w:p>
        </w:tc>
        <w:tc>
          <w:tcPr>
            <w:tcW w:w="1417" w:type="dxa"/>
          </w:tcPr>
          <w:p>
            <w:pPr>
              <w:spacing w:after="60"/>
            </w:pPr>
            <w:r/>
            <w:r>
              <w:rPr>
                <w:b w:val="0"/>
                <w:sz w:val="20"/>
              </w:rPr>
              <w:t>23.10.2026</w:t>
            </w:r>
          </w:p>
        </w:tc>
        <w:tc>
          <w:tcPr>
            <w:tcW w:w="6633"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020" w:type="dxa"/>
          </w:tcPr>
          <w:p>
            <w:pPr>
              <w:spacing w:after="60"/>
            </w:pPr>
            <w:r/>
            <w:r>
              <w:rPr>
                <w:b w:val="0"/>
                <w:sz w:val="20"/>
              </w:rPr>
              <w:t>1.39</w:t>
            </w:r>
          </w:p>
        </w:tc>
        <w:tc>
          <w:tcPr>
            <w:tcW w:w="1417" w:type="dxa"/>
          </w:tcPr>
          <w:p>
            <w:pPr>
              <w:spacing w:after="60"/>
            </w:pPr>
            <w:r/>
            <w:r>
              <w:rPr>
                <w:b w:val="0"/>
                <w:sz w:val="20"/>
              </w:rPr>
              <w:t>23.10.2026</w:t>
            </w:r>
          </w:p>
        </w:tc>
        <w:tc>
          <w:tcPr>
            <w:tcW w:w="6633" w:type="dxa"/>
          </w:tcPr>
          <w:p>
            <w:pPr>
              <w:spacing w:after="60"/>
            </w:pPr>
            <w:r/>
            <w:r>
              <w:rPr>
                <w:b w:val="0"/>
                <w:sz w:val="20"/>
              </w:rPr>
              <w:t>O Anexo B deixa de estar limitado aos temas T e C: a coluna Tema aceita as letras dos capítulos e a legenda passa a listar só as letras usadas; o gerador recusa letras que não existam. Quatro posições novas no tema D, sobre a tipologia dos cruzamentos (ficha D-06): RJLB 2023, Tribunal da Relação de Évora (25.5.2021), Real Decreto 287/2002 (Espanha) e padrão de conformação do XL Bully (Defra, Reino Unido). Novo grupo: Administrações estrangeiras.</w:t>
            </w:r>
          </w:p>
        </w:tc>
      </w:tr>
      <w:tr>
        <w:tc>
          <w:tcPr>
            <w:tcW w:w="1020" w:type="dxa"/>
          </w:tcPr>
          <w:p>
            <w:pPr>
              <w:spacing w:after="60"/>
            </w:pPr>
            <w:r/>
            <w:r>
              <w:rPr>
                <w:b w:val="0"/>
                <w:sz w:val="20"/>
              </w:rPr>
              <w:t>1.40</w:t>
            </w:r>
          </w:p>
        </w:tc>
        <w:tc>
          <w:tcPr>
            <w:tcW w:w="1417" w:type="dxa"/>
          </w:tcPr>
          <w:p>
            <w:pPr>
              <w:spacing w:after="60"/>
            </w:pPr>
            <w:r/>
            <w:r>
              <w:rPr>
                <w:b w:val="0"/>
                <w:sz w:val="20"/>
              </w:rPr>
              <w:t>23.10.2026</w:t>
            </w:r>
          </w:p>
        </w:tc>
        <w:tc>
          <w:tcPr>
            <w:tcW w:w="6633" w:type="dxa"/>
          </w:tcPr>
          <w:p>
            <w:pPr>
              <w:spacing w:after="60"/>
            </w:pPr>
            <w:r/>
            <w:r>
              <w:rPr>
                <w:b w:val="0"/>
                <w:sz w:val="20"/>
              </w:rPr>
              <w:t>Petição pública «Pela revisão da Legislação das Raças Potencialmente Perigosas» lida e guardada no repositório. Entra no Anexo B (tema D, grupo Petições e cidadãos), na ficha D-06 e na ficha nova D-07 (a certificação dos treinadores inclui defesa e mordedura, e nada diz o que o treino do cão deve atingir nem como se avalia). O RGAC fixa a Portaria 317/2015 no art. 133.º, n.º 3 e mantém o treino sem objetivos nem avaliação (art. 128.º).</w:t>
            </w:r>
          </w:p>
        </w:tc>
      </w:tr>
      <w:tr>
        <w:tc>
          <w:tcPr>
            <w:tcW w:w="1020" w:type="dxa"/>
          </w:tcPr>
          <w:p>
            <w:pPr>
              <w:spacing w:after="60"/>
            </w:pPr>
            <w:r/>
            <w:r>
              <w:rPr>
                <w:b w:val="0"/>
                <w:sz w:val="20"/>
              </w:rPr>
              <w:t>1.41</w:t>
            </w:r>
          </w:p>
        </w:tc>
        <w:tc>
          <w:tcPr>
            <w:tcW w:w="1417" w:type="dxa"/>
          </w:tcPr>
          <w:p>
            <w:pPr>
              <w:spacing w:after="60"/>
            </w:pPr>
            <w:r/>
            <w:r>
              <w:rPr>
                <w:b w:val="0"/>
                <w:sz w:val="20"/>
              </w:rPr>
              <w:t>23.10.2026</w:t>
            </w:r>
          </w:p>
        </w:tc>
        <w:tc>
          <w:tcPr>
            <w:tcW w:w="6633" w:type="dxa"/>
          </w:tcPr>
          <w:p>
            <w:pPr>
              <w:spacing w:after="60"/>
            </w:pPr>
            <w:r/>
            <w:r>
              <w:rPr>
                <w:b w:val="0"/>
                <w:sz w:val="20"/>
              </w:rPr>
              <w:t>Ficha D-06 completada: o DL 315/2009, arts. 16.º, n.º 2, e 19.º, n.º 3, e o RGAC, art. 126.º, n.º 3, mandam esterilizar os cruzamentos sem a condição de tipologia do art. 3.º, al. c); e nada diz que valor tem uma avaliação morfológica feita no estrangeiro. Origem: pedido de esclarecimento sobre um cão de raça cruzada a trazer de um país terceiro.</w:t>
            </w:r>
          </w:p>
        </w:tc>
      </w:tr>
      <w:tr>
        <w:tc>
          <w:tcPr>
            <w:tcW w:w="1020" w:type="dxa"/>
          </w:tcPr>
          <w:p>
            <w:pPr>
              <w:spacing w:after="60"/>
            </w:pPr>
            <w:r/>
            <w:r>
              <w:rPr>
                <w:b w:val="0"/>
                <w:sz w:val="20"/>
              </w:rPr>
              <w:t>1.42</w:t>
            </w:r>
          </w:p>
        </w:tc>
        <w:tc>
          <w:tcPr>
            <w:tcW w:w="1417" w:type="dxa"/>
          </w:tcPr>
          <w:p>
            <w:pPr>
              <w:spacing w:after="60"/>
            </w:pPr>
            <w:r/>
            <w:r>
              <w:rPr>
                <w:b w:val="0"/>
                <w:sz w:val="20"/>
              </w:rPr>
              <w:t>23.10.2026</w:t>
            </w:r>
          </w:p>
        </w:tc>
        <w:tc>
          <w:tcPr>
            <w:tcW w:w="6633" w:type="dxa"/>
          </w:tcPr>
          <w:p>
            <w:pPr>
              <w:spacing w:after="60"/>
            </w:pPr>
            <w:r/>
            <w:r>
              <w:rPr>
                <w:b w:val="0"/>
                <w:sz w:val="20"/>
              </w:rPr>
              <w:t>Ficha nova S-05 (o RGAC não se articula com o regime nacional dos controlos oficiais do DL 103/2026, de 22 de maio: autoridade competente, obstrução e deveres de colaboração dos operadores, taxas e regime geral das contraordenações). Ficha S-04 completada com o dever de colaboração dos operadores do DL 103/2026, art. 7.º. Bibliografia: Regulamento (UE) 2017/625, DL 103/2026 e Portaria n.º 304-A/2026/1.</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Regulamento (UE) 2017/625 do Parlamento Europeu e do Conselho, de 15 de março de 2017, relativo aos controlos oficiais e outras atividades oficiais. </w:t>
      </w:r>
      <w:hyperlink r:id="rId25">
        <w:r>
          <w:rPr>
            <w:u w:val="single"/>
          </w:rPr>
          <w:t xml:space="preserve">https://eur-lex.europa.eu/eli/reg/2017/625/oj/por</w:t>
        </w:r>
      </w:hyperlink>
    </w:p>
    <w:p>
      <w:pPr>
        <w:spacing w:after="80"/>
        <w:ind w:left="454" w:hanging="454"/>
      </w:pPr>
      <w:r>
        <w:rPr>
          <w:b w:val="0"/>
          <w:i w:val="0"/>
        </w:rPr>
        <w:t xml:space="preserve">Decreto-Lei n.º 103/2026, de 22 de maio (execução do Regulamento (UE) 2017/625, controlos oficiais e outras atividades oficiais), Diário da República, 1.ª série, n.º 99. </w:t>
      </w:r>
      <w:r>
        <w:t>Repositório: Legislação vigente/DL 103_2026 - relativo aos controlos oficiais e outras atividades oficiais.pdf.</w:t>
      </w:r>
    </w:p>
    <w:p>
      <w:pPr>
        <w:spacing w:after="80"/>
        <w:ind w:left="454" w:hanging="454"/>
      </w:pPr>
      <w:r>
        <w:rPr>
          <w:b w:val="0"/>
          <w:i w:val="0"/>
        </w:rPr>
        <w:t xml:space="preserve">Portaria n.º 304-A/2026/1, de 20 de julho (taxas ou encargos dos controlos oficiais e de outras atividades oficiais), Diário da República, 1.ª série, n.º 138, suplemento. </w:t>
      </w:r>
      <w:hyperlink r:id="rId26">
        <w:r>
          <w:rPr>
            <w:u w:val="single"/>
          </w:rPr>
          <w:t xml:space="preserve">https://files.diariodarepublica.pt/1s/2026/07/13801/0000200012.pdf</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7">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8">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9">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30">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31">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2">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3">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4">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5">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6">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7">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8">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9">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40">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41">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spacing w:after="80"/>
        <w:ind w:left="454" w:hanging="454"/>
      </w:pPr>
      <w:r>
        <w:rPr>
          <w:b w:val="0"/>
          <w:i w:val="0"/>
        </w:rPr>
        <w:t xml:space="preserve">Petição pública «Pela revisão da Legislação das Raças Potencialmente Perigosas» (subscritora: Eneida Cardoso), dirigida ao Presidente da Assembleia da República, sem data. </w:t>
      </w:r>
      <w:r>
        <w:t>Repositório: Projetos de lei/Petição - Pela revisão da Legislação das Raças Potencialmente Perigosas.pdf.</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2">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5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5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2">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3">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4">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5">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6">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7">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8">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9">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60">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61">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2">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3">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4">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5">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6">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7">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8">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9">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70">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71">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80">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81">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2">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3">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4">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5">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6">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7">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8">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9">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1.42.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eur-lex.europa.eu/eli/reg/2017/625/oj/por" TargetMode="External"/><Relationship Id="rId26" Type="http://schemas.openxmlformats.org/officeDocument/2006/relationships/hyperlink" Target="https://files.diariodarepublica.pt/1s/2026/07/13801/0000200012.pdf" TargetMode="External"/><Relationship Id="rId27" Type="http://schemas.openxmlformats.org/officeDocument/2006/relationships/hyperlink" Target="https://files.dre.pt/2s/2023/01/016000000/0033100335.pdf" TargetMode="External"/><Relationship Id="rId28" Type="http://schemas.openxmlformats.org/officeDocument/2006/relationships/hyperlink" Target="https://www.cm-moita.pt/cmmoita/uploads/writer_file/document/9889/regulamento_cuidador_informal.pdf" TargetMode="External"/><Relationship Id="rId29" Type="http://schemas.openxmlformats.org/officeDocument/2006/relationships/hyperlink" Target="https://www.pgdlisboa.pt/leis/lei_mostra_articulado.php?nid=1990&amp;tabela=leis" TargetMode="External"/><Relationship Id="rId30" Type="http://schemas.openxmlformats.org/officeDocument/2006/relationships/hyperlink" Target="https://www.mun-setubal.pt/wp-content/uploads/2020/07/RSBEAMS-2020.pdf" TargetMode="External"/><Relationship Id="rId31" Type="http://schemas.openxmlformats.org/officeDocument/2006/relationships/hyperlink" Target="https://files.diariodarepublica.pt/gratuitos/2s/2023/03/2S061A0000S00.pdf" TargetMode="External"/><Relationship Id="rId32" Type="http://schemas.openxmlformats.org/officeDocument/2006/relationships/hyperlink" Target="https://files.diariodarepublica.pt/1s/2025/04/06800/0007500080.pdf" TargetMode="External"/><Relationship Id="rId33" Type="http://schemas.openxmlformats.org/officeDocument/2006/relationships/hyperlink" Target="https://diariodarepublica.pt/dr/detalhe/lei/73-a-2025-993270096" TargetMode="External"/><Relationship Id="rId34" Type="http://schemas.openxmlformats.org/officeDocument/2006/relationships/hyperlink" Target="https://files.diariodarepublica.pt/2s/2026/03/045000000/0023300269.pdf" TargetMode="External"/><Relationship Id="rId35" Type="http://schemas.openxmlformats.org/officeDocument/2006/relationships/hyperlink" Target="https://diariodarepublica.pt/dr/detalhe/despacho/9102-2026-1148891344" TargetMode="External"/><Relationship Id="rId36" Type="http://schemas.openxmlformats.org/officeDocument/2006/relationships/hyperlink" Target="https://diariodarepublica.pt/dr/detalhe/lei/6-2022-177309291" TargetMode="External"/><Relationship Id="rId37" Type="http://schemas.openxmlformats.org/officeDocument/2006/relationships/hyperlink" Target="https://files.diariodarepublica.pt/2s/2022/02/031000000/0030000303.pdf" TargetMode="External"/><Relationship Id="rId38" Type="http://schemas.openxmlformats.org/officeDocument/2006/relationships/hyperlink" Target="https://boe.es/boe/dias/2002/03/27/pdfs/A12290-12292.pdf" TargetMode="External"/><Relationship Id="rId39" Type="http://schemas.openxmlformats.org/officeDocument/2006/relationships/hyperlink" Target="https://anmp.pt/file-viewer/?pstid=41508" TargetMode="External"/><Relationship Id="rId40"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41"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2" Type="http://schemas.openxmlformats.org/officeDocument/2006/relationships/hyperlink" Target="https://www.dgav.pt/animais/conteudo/recursos-geneticos-animais/racas-autoctones/" TargetMode="External"/><Relationship Id="rId43" Type="http://schemas.openxmlformats.org/officeDocument/2006/relationships/hyperlink" Target="https://www.icnf.pt/api/file/doc/41f8f44aee23be1a" TargetMode="External"/><Relationship Id="rId44" Type="http://schemas.openxmlformats.org/officeDocument/2006/relationships/hyperlink" Target="https://www.dgav.pt/wp-content/uploads/2021/08/Relatorio-FINAL-avaliacao-da-implementacao-da-Lei-27-2016.pdf" TargetMode="External"/><Relationship Id="rId45" Type="http://schemas.openxmlformats.org/officeDocument/2006/relationships/hyperlink" Target="https://www.provedor-jus.pt/documentos/082A_96.pdf" TargetMode="External"/><Relationship Id="rId46" Type="http://schemas.openxmlformats.org/officeDocument/2006/relationships/hyperlink" Target="https://www.provedor-jus.pt/documentos/canideos-captura-alojamento-e-abate/" TargetMode="External"/><Relationship Id="rId47" Type="http://schemas.openxmlformats.org/officeDocument/2006/relationships/hyperlink" Target="https://www.provedor-jus.pt/documentos/ambiente-salubridade-habitacao-acumulacao-de-residuos-saude-mental-sindrome-de-diogenes-004-a-2013/" TargetMode="External"/><Relationship Id="rId48" Type="http://schemas.openxmlformats.org/officeDocument/2006/relationships/hyperlink" Target="https://www.provedor-jus.pt/documentos/Relat2020%20_Relatorio.pdf" TargetMode="External"/><Relationship Id="rId49" Type="http://schemas.openxmlformats.org/officeDocument/2006/relationships/hyperlink" Target="https://www.provedor-jus.pt/documentos/Relatorio%202023.pdf" TargetMode="External"/><Relationship Id="rId50" Type="http://schemas.openxmlformats.org/officeDocument/2006/relationships/hyperlink" Target="https://food.ec.europa.eu/document/download/caf8cd1d-967a-4e60-a0e5-19401be1c6b3_en?filename=aw_awp_leg_dog-cat_swd-2024-88.pdf" TargetMode="External"/><Relationship Id="rId51" Type="http://schemas.openxmlformats.org/officeDocument/2006/relationships/hyperlink" Target="https://www.woah.org/fileadmin/Home/eng/Health_standards/tahc/2023/chapitre_aw_stray_dog.pdf" TargetMode="External"/><Relationship Id="rId52" Type="http://schemas.openxmlformats.org/officeDocument/2006/relationships/hyperlink" Target="https://www.dgav.pt/wp-content/uploads/2026/03/Relatorio_CROs_2025_31032026-rev.pdf" TargetMode="External"/><Relationship Id="rId53" Type="http://schemas.openxmlformats.org/officeDocument/2006/relationships/hyperlink" Target="https://www.gov.uk/government/publications/official-definition-of-an-xl-bully-dog" TargetMode="External"/><Relationship Id="rId54" Type="http://schemas.openxmlformats.org/officeDocument/2006/relationships/hyperlink" Target="https://www.cpc.pt/wp-content/uploads/2020/12/lop_ri.pdf" TargetMode="External"/><Relationship Id="rId55" Type="http://schemas.openxmlformats.org/officeDocument/2006/relationships/hyperlink" Target="https://www.omv.pt/dmdocuments/vi_formacao_omv/abandono_animais_camv_ultimoparecer_nov2015.pdf" TargetMode="External"/><Relationship Id="rId56"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7" Type="http://schemas.openxmlformats.org/officeDocument/2006/relationships/hyperlink" Target="https://apmveac.pt/wp-content/uploads/2021/04/Legislacao.Animais.Companhia_09-04-2021-amarelo-final-.pdf" TargetMode="External"/><Relationship Id="rId58" Type="http://schemas.openxmlformats.org/officeDocument/2006/relationships/hyperlink" Target="https://apmveac.pt/wp-content/uploads/2023/09/Parecer-APMVEAC-Consulta-Publica-ENAE.pdf" TargetMode="External"/><Relationship Id="rId59" Type="http://schemas.openxmlformats.org/officeDocument/2006/relationships/hyperlink" Target="https://www.arpa-associacao.pt/media/attachments/2022/12/14/parecer-arpa-versAo-4-final.pdf" TargetMode="External"/><Relationship Id="rId60" Type="http://schemas.openxmlformats.org/officeDocument/2006/relationships/hyperlink" Target="https://www.spea.pt/wp-content/uploads/2020/09/ParecerSPEA_Planos-Gestao-Parques-Naturais-Ilha-2020.pdf" TargetMode="External"/><Relationship Id="rId61" Type="http://schemas.openxmlformats.org/officeDocument/2006/relationships/hyperlink" Target="https://spea.pt/um-gato-feliz-e-alimentado-mantem-o-passarinho-afastado/" TargetMode="External"/><Relationship Id="rId62" Type="http://schemas.openxmlformats.org/officeDocument/2006/relationships/hyperlink" Target="https://matilhascoimbra.pt/pages/projecto-2" TargetMode="External"/><Relationship Id="rId63" Type="http://schemas.openxmlformats.org/officeDocument/2006/relationships/hyperlink" Target="https://www.pan.com.pt/pan-destaca-vitorias-no-bem-estar-animal-mas-denuncia-retrocesso-grave-no-orcamento-do-estado-para-2026/" TargetMode="External"/><Relationship Id="rId64" Type="http://schemas.openxmlformats.org/officeDocument/2006/relationships/hyperlink" Target="https://www.pcp.pt/solucao-prevencao-pela-esterilizacao-rede-publica-de-veterinarios-nao-abate-de-animais-abandonados" TargetMode="External"/><Relationship Id="rId65" Type="http://schemas.openxmlformats.org/officeDocument/2006/relationships/hyperlink" Target="https://www.pcp.pt/campanha-nacional-de-esterilizacao-de-animais-errantes-0" TargetMode="External"/><Relationship Id="rId66" Type="http://schemas.openxmlformats.org/officeDocument/2006/relationships/hyperlink" Target="https://programa.partidolivre.pt/propostas/N.13/" TargetMode="External"/><Relationship Id="rId67" Type="http://schemas.openxmlformats.org/officeDocument/2006/relationships/hyperlink" Target="https://maratonapelosanimais.pt/wp-content/uploads/2024/03/respostas-completas.pdf" TargetMode="External"/><Relationship Id="rId68" Type="http://schemas.openxmlformats.org/officeDocument/2006/relationships/hyperlink" Target="https://www.cidp.pt/revistas/rjlb/2019/2/2019_02_0077_0095.pdf" TargetMode="External"/><Relationship Id="rId69" Type="http://schemas.openxmlformats.org/officeDocument/2006/relationships/hyperlink" Target="https://www.cidp.pt/revistas/rjlb/2019/2/2019_02_0305_0348.pdf" TargetMode="External"/><Relationship Id="rId70" Type="http://schemas.openxmlformats.org/officeDocument/2006/relationships/hyperlink" Target="https://cej.justica.gov.pt/LinkClick.aspx?fileticket=VpuQj7jZ-us%3D&amp;portalid=30" TargetMode="External"/><Relationship Id="rId71" Type="http://schemas.openxmlformats.org/officeDocument/2006/relationships/hyperlink" Target="https://www.cidp.pt/revistas/rjlb/2023/3/2023_03_1215_1242.pdf" TargetMode="External"/><Relationship Id="rId72" Type="http://schemas.openxmlformats.org/officeDocument/2006/relationships/hyperlink" Target="https://jurisprudencia.pt/acordao/76412/" TargetMode="External"/><Relationship Id="rId73" Type="http://schemas.openxmlformats.org/officeDocument/2006/relationships/hyperlink" Target="https://trc.pt/responsabilidade-civil-danos-causados-por-animais-dever-de-vigilancia/" TargetMode="External"/><Relationship Id="rId74" Type="http://schemas.openxmlformats.org/officeDocument/2006/relationships/hyperlink" Target="https://jurisprudencia.pt/acordao/128487/" TargetMode="External"/><Relationship Id="rId75" Type="http://schemas.openxmlformats.org/officeDocument/2006/relationships/hyperlink" Target="https://www.tribunalconstitucional.pt/tc/acordaos/20210867.html" TargetMode="External"/><Relationship Id="rId76" Type="http://schemas.openxmlformats.org/officeDocument/2006/relationships/hyperlink" Target="https://www.tribunalconstitucional.pt/tc/acordaos/20240070.html" TargetMode="External"/><Relationship Id="rId77" Type="http://schemas.openxmlformats.org/officeDocument/2006/relationships/hyperlink" Target="https://jurisprudencia.pt/acordao/221373/" TargetMode="External"/><Relationship Id="rId78" Type="http://schemas.openxmlformats.org/officeDocument/2006/relationships/hyperlink" Target="https://www.tribunalconstitucional.pt/tc/acordaos/20240478.html" TargetMode="External"/><Relationship Id="rId79" Type="http://schemas.openxmlformats.org/officeDocument/2006/relationships/hyperlink" Target="https://www.dgsi.pt/jtrl.nsf/33182fc732316039802565fa00497eec/7462ba7a0546bac680258c8b0049a31e?OpenDocument" TargetMode="External"/><Relationship Id="rId80" Type="http://schemas.openxmlformats.org/officeDocument/2006/relationships/hyperlink" Target="https://www.dgsi.pt/jtrp.nsf/56a6e7121657f91e80257cda00381fdf/703e8b815ea39ece80258b34004b8157" TargetMode="External"/><Relationship Id="rId81" Type="http://schemas.openxmlformats.org/officeDocument/2006/relationships/hyperlink" Target="https://jurisprudencia.pt/acordao/200915/" TargetMode="External"/><Relationship Id="rId82" Type="http://schemas.openxmlformats.org/officeDocument/2006/relationships/hyperlink" Target="https://www.nature.com/articles/ncomms2380" TargetMode="External"/><Relationship Id="rId83" Type="http://schemas.openxmlformats.org/officeDocument/2006/relationships/hyperlink" Target="https://doi.org/10.2460/javma.2005.227.1775" TargetMode="External"/><Relationship Id="rId84" Type="http://schemas.openxmlformats.org/officeDocument/2006/relationships/hyperlink" Target="https://www.frontiersin.org/journals/veterinary-science/articles/10.3389/fvets.2019.00238/full" TargetMode="External"/><Relationship Id="rId85" Type="http://schemas.openxmlformats.org/officeDocument/2006/relationships/hyperlink" Target="https://www.frontiersin.org/journals/veterinary-science/articles/10.3389/fvets.2019.00077/full" TargetMode="External"/><Relationship Id="rId86" Type="http://schemas.openxmlformats.org/officeDocument/2006/relationships/hyperlink" Target="https://doi.org/10.1093/jel/eqz035" TargetMode="External"/><Relationship Id="rId87" Type="http://schemas.openxmlformats.org/officeDocument/2006/relationships/hyperlink" Target="https://pmc.ncbi.nlm.nih.gov/articles/PMC9169806/" TargetMode="External"/><Relationship Id="rId88" Type="http://schemas.openxmlformats.org/officeDocument/2006/relationships/hyperlink" Target="https://pmc.ncbi.nlm.nih.gov/articles/PMC11939513/" TargetMode="External"/><Relationship Id="rId89" Type="http://schemas.openxmlformats.org/officeDocument/2006/relationships/hyperlink" Target="https://dspace.uevora.pt/rdpc/bitstream/10174/38522/1/Gal%C3%A3o%20et%20al_2025_When%20pets%20go%20wild.pdf" TargetMode="External"/><Relationship Id="rId9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