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 dogs and cats are provided with water and feed of a quality and of a quantity that enables them to have appropriate nutrition and hydration;</w:t>
            </w:r>
          </w:p>
          <w:p>
            <w:pPr>
              <w:spacing w:after="0" w:before="100"/>
              <w:ind w:right="80" w:left="360" w:hanging="2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after="0" w:before="100"/>
              <w:ind w:right="80" w:left="360" w:hanging="2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after="0" w:before="10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5.º) refere 'parâmetros de bem-estar animal' genericamente, sem adotar formalmente a nomenclatura dos 5 domínios OMSA nem a sua sistematização explícita.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10.º, n.º 1, al. a)) articula obrigações equivalentes ao nível do detentor de forma descritiva, sem sistematização nos 5 domínios nem referência ao quadro OMSA.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6.º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or cats kept in the establishments under their responsibility and under their control and to minimise any risks to their welfare.</w:t>
            </w:r>
          </w:p>
          <w:p>
            <w:pPr>
              <w:spacing w:after="0" w:before="140"/>
              <w:ind w:right="80" w:left="80" w:firstLine="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 Member States where the foster home is located may provide for a greater number of dogs, cats or litters to be placed in the foster home, provided that the premises of the foster home provide sufficient space, including outdoor space, and that the number of animal caretakers in the foster home is sufficient, to ensure the welfare of the dogs or cats.</w:t>
            </w:r>
          </w:p>
          <w:p>
            <w:pPr>
              <w:spacing w:after="0" w:before="140"/>
              <w:ind w:right="80" w:left="80" w:firstLine="0"/>
            </w:pPr>
            <w:r>
              <w:rPr>
                <w:rFonts w:ascii="Calibri" w:hAnsi="Calibri"/>
                <w:b w:val="0"/>
                <w:i w:val="0"/>
                <w:color w:val="222222"/>
                <w:sz w:val="19"/>
              </w:rPr>
              <w:t>1b. Operators shall not subject any dog or cat to cruelty, abuse or mistreatment, including through participation in activities likely to result in cruelty, abuse or mistreatment, to the dogs or cats bred or kept by the operator.</w:t>
            </w:r>
          </w:p>
          <w:p>
            <w:pPr>
              <w:spacing w:after="0" w:before="140"/>
              <w:ind w:right="80" w:left="80" w:firstLine="0"/>
            </w:pPr>
            <w:r>
              <w:rPr>
                <w:rFonts w:ascii="Calibri" w:hAnsi="Calibri"/>
                <w:b w:val="0"/>
                <w:i w:val="0"/>
                <w:color w:val="222222"/>
                <w:sz w:val="19"/>
              </w:rPr>
              <w:t>1c. Operators shall not abandon dogs or cats.</w:t>
            </w:r>
          </w:p>
          <w:p>
            <w:pPr>
              <w:spacing w:after="0" w:before="140"/>
              <w:ind w:right="80" w:left="80" w:firstLine="0"/>
            </w:pPr>
            <w:r>
              <w:rPr>
                <w:rFonts w:ascii="Calibri" w:hAnsi="Calibri"/>
                <w:b w:val="0"/>
                <w:i w:val="0"/>
                <w:color w:val="222222"/>
                <w:sz w:val="19"/>
              </w:rPr>
              <w:t>1d. Operators who are due to cease the activities of their establishment shall ensure the rehoming of the dogs or cats kept therein either by taking up the pet ownership or by transferring the responsibility or ownership of dogs and cats to other operators or acquirers.</w:t>
            </w:r>
          </w:p>
          <w:p>
            <w:pPr>
              <w:spacing w:after="0" w:before="140"/>
              <w:ind w:right="80" w:left="80" w:firstLine="0"/>
            </w:pPr>
            <w:r>
              <w:rPr>
                <w:rFonts w:ascii="Calibri" w:hAnsi="Calibri"/>
                <w:b w:val="0"/>
                <w:i w:val="0"/>
                <w:color w:val="222222"/>
                <w:sz w:val="19"/>
              </w:rPr>
              <w:t>2. Operators shall ensure that dogs or cats are handled by a suitable number of animal caretakers and in order to meet the welfare needs of dogs or cats kept in their establishments and who have the competences required under Article 9.</w:t>
            </w:r>
          </w:p>
          <w:p>
            <w:pPr>
              <w:spacing w:after="0" w:before="140"/>
              <w:ind w:right="80" w:left="80" w:firstLine="0"/>
            </w:pPr>
            <w:r>
              <w:rPr>
                <w:rFonts w:ascii="Calibri" w:hAnsi="Calibri"/>
                <w:b w:val="0"/>
                <w:i w:val="0"/>
                <w:color w:val="222222"/>
                <w:sz w:val="19"/>
              </w:rPr>
              <w:t>2a. Operators shall ensure the welfare of the dogs or cats under their responsibility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2b. The Commission is empowered to adopt delegated acts in accordance with Article 23 supplementing this Regulation by laying down animal-based indicators concerning behaviour and physical appearance and the methods of their measurement.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não prevê o conceito de família de acolhimento nem qualquer limite numérico de animais por unidade. A responsabilidade do operador como figura distinta do detentor particular também não é contemplada.</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menciona famílias de acolhimento temporário mas não fixa o limite de 5 animais por família de acolhimento nem especifica que a responsabilidade jurídica recai sobre o operador e não sobre a família.</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6.º-A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detrimental effects on their health and welfare.</w:t>
            </w:r>
          </w:p>
          <w:p>
            <w:pPr>
              <w:spacing w:after="0" w:before="14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 The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 The Commission is empowered to adopt, taking into account scientific opinions of the European Food Safety Authority as well as the social and economic impacts, delegated acts in accordance with Article 23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which shall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which shall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4. 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5. The following shall be prohibited in the management of the reproduction of dogs and cats:</w:t>
            </w:r>
          </w:p>
          <w:p>
            <w:pPr>
              <w:spacing w:after="0" w:before="20"/>
              <w:ind w:right="80" w:left="360" w:hanging="280"/>
            </w:pPr>
            <w:r>
              <w:rPr>
                <w:rFonts w:ascii="Calibri" w:hAnsi="Calibri"/>
                <w:b w:val="0"/>
                <w:i w:val="0"/>
                <w:color w:val="222222"/>
                <w:sz w:val="19"/>
              </w:rPr>
              <w:t>(a) the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the breeding to produce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8.º, n.º 2) exclui da reprodução animais com defeitos genéticos e malformações (displasia, rim poliquístico) e proíbe cios sucessivos, mas não prevê o conceito de traços conformacionais excessivos nem a proibição de consanguinidade.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34.º) proíbe intervenções cirúrgicas de modificação da aparência, mas não contém qualquer norma sobre estratégia genética de criação, conformação excessiva ou consanguinidade.</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notify the competent authorities of their activity, providing at least the following information:</w:t>
            </w:r>
          </w:p>
          <w:p>
            <w:pPr>
              <w:spacing w:after="0" w:before="100"/>
              <w:ind w:right="80" w:left="360" w:hanging="280"/>
            </w:pPr>
            <w:r>
              <w:rPr>
                <w:rFonts w:ascii="Calibri" w:hAnsi="Calibri"/>
                <w:b w:val="0"/>
                <w:i w:val="0"/>
                <w:color w:val="222222"/>
                <w:sz w:val="19"/>
              </w:rPr>
              <w:t>(a) name, address and contact details of the operator;</w:t>
            </w:r>
          </w:p>
          <w:p>
            <w:pPr>
              <w:spacing w:after="0" w:before="20"/>
              <w:ind w:right="80" w:left="360" w:hanging="280"/>
            </w:pPr>
            <w:r>
              <w:rPr>
                <w:rFonts w:ascii="Calibri" w:hAnsi="Calibri"/>
                <w:b w:val="0"/>
                <w:i w:val="0"/>
                <w:color w:val="222222"/>
                <w:sz w:val="19"/>
              </w:rPr>
              <w:t>(b) the location(s) of the establishment(s);</w:t>
            </w:r>
          </w:p>
          <w:p>
            <w:pPr>
              <w:spacing w:after="0" w:before="20"/>
              <w:ind w:right="80" w:left="360" w:hanging="280"/>
            </w:pPr>
            <w:r>
              <w:rPr>
                <w:rFonts w:ascii="Calibri" w:hAnsi="Calibri"/>
                <w:b w:val="0"/>
                <w:i w:val="0"/>
                <w:color w:val="222222"/>
                <w:sz w:val="19"/>
              </w:rPr>
              <w:t>(c) the type(s)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establishment(s);</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establishment(s);</w:t>
            </w:r>
          </w:p>
          <w:p>
            <w:pPr>
              <w:spacing w:after="0" w:before="20"/>
              <w:ind w:right="80" w:left="360" w:hanging="280"/>
            </w:pPr>
            <w:r>
              <w:rPr>
                <w:rFonts w:ascii="Calibri" w:hAnsi="Calibri"/>
                <w:b w:val="0"/>
                <w:i w:val="0"/>
                <w:color w:val="222222"/>
                <w:sz w:val="19"/>
              </w:rPr>
              <w:t>(ea) for breeding establishments, the estimated number of litters to be placed on the market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regula condições de reprodução (art.º 8.º) mas não prevê qualquer sistema de notificação ou registo de estabelecimentos criadores junto da autoridade competente.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trata da esterilização de errantes e CED, mas não contém norma sobre notificação de criadores ou registo de estabelecimentos com fins de reprodução comercial.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8.º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provide to the acquirer of a dog or cat written information necessary to enable him or her to ensure the welfare of the dog or cat including information on responsible ownership and on the specific needs of the dog or cat in terms of feeding, caring, health, housing and behavioural needs, as well as information on its health.</w:t>
            </w:r>
          </w:p>
          <w:p>
            <w:pPr>
              <w:spacing w:after="0" w:before="140"/>
              <w:ind w:right="80" w:left="80" w:firstLine="0"/>
            </w:pPr>
            <w:r>
              <w:rPr>
                <w:rFonts w:ascii="Calibri" w:hAnsi="Calibri"/>
                <w:b w:val="0"/>
                <w:i w:val="0"/>
                <w:color w:val="222222"/>
                <w:sz w:val="19"/>
              </w:rPr>
              <w:t>1a. The written information on the dog or cat's health referred to in the first paragraph shall include at least:</w:t>
            </w:r>
          </w:p>
          <w:p>
            <w:pPr>
              <w:spacing w:after="0" w:before="20"/>
              <w:ind w:right="80" w:left="360" w:hanging="280"/>
            </w:pPr>
            <w:r>
              <w:rPr>
                <w:rFonts w:ascii="Calibri" w:hAnsi="Calibri"/>
                <w:b w:val="0"/>
                <w:i w:val="0"/>
                <w:color w:val="222222"/>
                <w:sz w:val="19"/>
              </w:rPr>
              <w:t>(a) the dog or cat's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by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In case the information on the dog's or cat's health is documented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57.º) exige informação escrita mas com âmbito mais amplo (duração de vida, custos) do que o @regulamento, que se foca especificamente em bem-estar e saúde.</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8.º) aproxima-se do conteúdo do @regulamento, exigindo informação escrita antes da transferência, incluindo dados de saúde e vacinação, mas ainda sem o enfoque específico em bem-estar comportamental.</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caretakers  ·  Art.º 9.º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caretakers, other than volunteers in shelters and interns who are under the responsibility of a competent animal caretaker, shall have the following competences as regards the dogs and cats they are handling:</w:t>
            </w:r>
          </w:p>
          <w:p>
            <w:pPr>
              <w:spacing w:after="0" w:before="20"/>
              <w:ind w:right="80" w:left="360" w:hanging="280"/>
            </w:pPr>
            <w:r>
              <w:rPr>
                <w:rFonts w:ascii="Calibri" w:hAnsi="Calibri"/>
                <w:b w:val="0"/>
                <w:i w:val="0"/>
                <w:color w:val="222222"/>
                <w:sz w:val="19"/>
              </w:rPr>
              <w:t>(a) understanding of their biological behaviour and their physiological and ethological needs;</w:t>
            </w:r>
          </w:p>
          <w:p>
            <w:pPr>
              <w:spacing w:after="0" w:before="20"/>
              <w:ind w:right="80" w:left="360" w:hanging="280"/>
            </w:pPr>
            <w:r>
              <w:rPr>
                <w:rFonts w:ascii="Calibri" w:hAnsi="Calibri"/>
                <w:b w:val="0"/>
                <w:i w:val="0"/>
                <w:color w:val="222222"/>
                <w:sz w:val="19"/>
              </w:rPr>
              <w:t>(b) ability to recognise their expressions including any sign of suffering and to identify and take the appropriate mitigating measures in such cases;</w:t>
            </w:r>
          </w:p>
          <w:p>
            <w:pPr>
              <w:spacing w:after="0" w:before="20"/>
              <w:ind w:right="80" w:left="360" w:hanging="280"/>
            </w:pPr>
            <w:r>
              <w:rPr>
                <w:rFonts w:ascii="Calibri" w:hAnsi="Calibri"/>
                <w:b w:val="0"/>
                <w:i w:val="0"/>
                <w:color w:val="222222"/>
                <w:sz w:val="19"/>
              </w:rPr>
              <w:t>(c) ability to apply good animal management practices, including operant conditioning and positive reinforcement, to use and maintain the equipment used for the dogs or cats under their care and to minimise any risks to the welfare of the dogs or cats, preventing suffering;</w:t>
            </w:r>
          </w:p>
          <w:p>
            <w:pPr>
              <w:spacing w:after="0" w:before="20"/>
              <w:ind w:right="80" w:left="360" w:hanging="280"/>
            </w:pPr>
            <w:r>
              <w:rPr>
                <w:rFonts w:ascii="Calibri" w:hAnsi="Calibri"/>
                <w:b w:val="0"/>
                <w:i w:val="0"/>
                <w:color w:val="222222"/>
                <w:sz w:val="19"/>
              </w:rPr>
              <w:t>(d) knowledge of their obligations under this Regulation.</w:t>
            </w:r>
          </w:p>
          <w:p>
            <w:pPr>
              <w:spacing w:after="0" w:before="140"/>
              <w:ind w:right="80" w:left="80" w:firstLine="0"/>
            </w:pPr>
            <w:r>
              <w:rPr>
                <w:rFonts w:ascii="Calibri" w:hAnsi="Calibri"/>
                <w:b w:val="0"/>
                <w:i w:val="0"/>
                <w:color w:val="222222"/>
                <w:sz w:val="19"/>
              </w:rPr>
              <w:t>2. The competences referred to in paragraph 1 may be acquired through education, training or professional experience. Education, training or professional experience shall be documented.</w:t>
            </w:r>
          </w:p>
          <w:p>
            <w:pPr>
              <w:spacing w:after="0" w:before="140"/>
              <w:ind w:right="80" w:left="80" w:firstLine="0"/>
            </w:pPr>
            <w:r>
              <w:rPr>
                <w:rFonts w:ascii="Calibri" w:hAnsi="Calibri"/>
                <w:b w:val="0"/>
                <w:i w:val="0"/>
                <w:color w:val="222222"/>
                <w:sz w:val="19"/>
              </w:rPr>
              <w:t>2a. Operators shall ensure that at least one animal caretaker, other than a volunteer or intern, at the establishment has completed the training courses referred to in Article 18 and that the caretaker transfers the knowledge to the other animal caretakers of the establishment.</w:t>
            </w:r>
          </w:p>
          <w:p>
            <w:pPr>
              <w:spacing w:after="0" w:before="140"/>
              <w:ind w:right="80" w:left="80" w:firstLine="0"/>
            </w:pPr>
            <w:r>
              <w:rPr>
                <w:rFonts w:ascii="Calibri" w:hAnsi="Calibri"/>
                <w:b w:val="0"/>
                <w:i w:val="0"/>
                <w:color w:val="222222"/>
                <w:sz w:val="19"/>
              </w:rPr>
              <w:t>3. The Commission shall, by means of implementing acts, lay down minimum requirements concerning the formal education, training or professional experience in order to acquire the competences referred to in paragraph 2 and for the training courses referred to in paragraph 2a. Those implementing acts shall be adopted in accordance with the examination procedure referred to in Article 24. The implementing act concerning the training courses referred to in paragraph 2a shall be adopted by [3 years from the date of entry into force of the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19.º) é genérico: exige apenas 'conhecimentos e aptidão necessária' sob orientação do médico veterinário responsável. Não detalha competências concretas nem exigências de formação formal.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10.º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w:t>
            </w:r>
          </w:p>
          <w:p>
            <w:pPr>
              <w:spacing w:after="0" w:before="100"/>
              <w:ind w:right="80" w:left="360" w:hanging="280"/>
            </w:pPr>
            <w:r>
              <w:rPr>
                <w:rFonts w:ascii="Calibri" w:hAnsi="Calibri"/>
                <w:b w:val="0"/>
                <w:i w:val="0"/>
                <w:color w:val="222222"/>
                <w:sz w:val="19"/>
              </w:rPr>
              <w:t>(a) ensure that the establishments under their responsibility receive a visit by a veterinarian within the first year after the date of application of this Regulation or within the first year after having notified a new establishment, for the purpose of identifying and assessing any risk factor for the welfare of the dogs or cats and advising the operator on measures to address those risks; thereafter the visits from a veterinarian shall take place when appropriate, based on a risk analysis by the competent authorities; Member States may provide for that the advisory welfare visits are annual;</w:t>
            </w:r>
          </w:p>
          <w:p>
            <w:pPr>
              <w:spacing w:after="0" w:before="100"/>
              <w:ind w:right="80" w:left="360" w:hanging="280"/>
            </w:pPr>
            <w:r>
              <w:rPr>
                <w:rFonts w:ascii="Calibri" w:hAnsi="Calibri"/>
                <w:b w:val="0"/>
                <w:i w:val="0"/>
                <w:color w:val="222222"/>
                <w:sz w:val="19"/>
              </w:rPr>
              <w:t>(b) keep the records of the findings of the visit of the veterinarian referred to in point (a) and of their follow up actions for at least 4 years, from the day of the visit, and shall make them available to the competent authorities upon request and to the veterinarian that performs subsequent advisory visits.</w:t>
            </w:r>
          </w:p>
          <w:p>
            <w:pPr>
              <w:spacing w:after="0" w:before="140"/>
              <w:ind w:right="80" w:left="80" w:firstLine="0"/>
            </w:pPr>
            <w:r>
              <w:rPr>
                <w:rFonts w:ascii="Calibri" w:hAnsi="Calibri"/>
                <w:b w:val="0"/>
                <w:i w:val="0"/>
                <w:color w:val="222222"/>
                <w:sz w:val="19"/>
              </w:rPr>
              <w:t>By 24 months from the date of entry into force of this Regulation, the Commission shall adopt delegated acts in accordance with Article 23 supplementing this Article in order to lay down minimum criteria to be assessed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(art.º 32.º) replica quase verbatim o art.º 4.º do DL n.º 276/2001, mantendo as mesmas lacunas: não fixa prazos para avaliações de bem-estar nem obrigações de manutenção de registos estruturados.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or cats are fed in accordance with the requirements laid down in point 1 of Annex I.</w:t>
            </w:r>
          </w:p>
          <w:p>
            <w:pPr>
              <w:spacing w:after="0" w:before="140"/>
              <w:ind w:right="80" w:left="80" w:firstLine="0"/>
            </w:pPr>
            <w:r>
              <w:rPr>
                <w:rFonts w:ascii="Calibri" w:hAnsi="Calibri"/>
                <w:b w:val="0"/>
                <w:i w:val="0"/>
                <w:color w:val="222222"/>
                <w:sz w:val="19"/>
              </w:rPr>
              <w:t>2. Operators shall ensure that dogs or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in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good health;</w:t>
            </w:r>
          </w:p>
          <w:p>
            <w:pPr>
              <w:spacing w:after="0" w:before="20"/>
              <w:ind w:right="80" w:left="360" w:hanging="280"/>
            </w:pPr>
            <w:r>
              <w:rPr>
                <w:rFonts w:ascii="Calibri" w:hAnsi="Calibri"/>
                <w:b w:val="0"/>
                <w:i w:val="0"/>
                <w:color w:val="222222"/>
                <w:sz w:val="19"/>
              </w:rPr>
              <w:t>c) feed free of substances which may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140"/>
              <w:ind w:right="80" w:left="80" w:firstLine="0"/>
            </w:pPr>
            <w:r>
              <w:rPr>
                <w:rFonts w:ascii="Calibri" w:hAnsi="Calibri"/>
                <w:b w:val="0"/>
                <w:i w:val="0"/>
                <w:color w:val="222222"/>
                <w:sz w:val="19"/>
              </w:rPr>
              <w:t>3a. Where advised in writing by a veterinarian to do so, the operators may adjust the feeding and watering frequencies for an individual dog or cat. The operators shall keep a record of the advice for its entire duration as advised by the veterinarian.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os cães e gatos são alimentados de acordo com os requisitos estabelecidos no ponto 1 do Anexo I.</w:t>
            </w:r>
          </w:p>
          <w:p>
            <w:pPr>
              <w:spacing w:after="0" w:before="140"/>
              <w:ind w:right="80" w:left="80" w:firstLine="0"/>
            </w:pPr>
            <w:r>
              <w:rPr>
                <w:rFonts w:ascii="Calibri" w:hAnsi="Calibri"/>
                <w:b w:val="0"/>
                <w:i/>
                <w:color w:val="222222"/>
                <w:sz w:val="19"/>
              </w:rPr>
              <w:t>2 — Os operadores devem assegurar que os cães e gatos são adequadamente alimentados e hidratados fornecendo:</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tendo como objetivo global atingir e manter uma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alimentação de forma a evitar mudanças bruscas e assegurar um sistema gastrointestinal bem funcionante, em particular durante a fase de desmame.</w:t>
            </w:r>
          </w:p>
          <w:p>
            <w:pPr>
              <w:spacing w:after="0" w:before="140"/>
              <w:ind w:right="80" w:left="80" w:firstLine="0"/>
            </w:pPr>
            <w:r>
              <w:rPr>
                <w:rFonts w:ascii="Calibri" w:hAnsi="Calibri"/>
                <w:b w:val="0"/>
                <w:i/>
                <w:color w:val="222222"/>
                <w:sz w:val="19"/>
              </w:rPr>
              <w:t>3 — Os operadores devem assegurar que as instalações de alimentação e hidratação são mantidas limpas e construídas e instaladas de modo a:</w:t>
            </w:r>
          </w:p>
          <w:p>
            <w:pPr>
              <w:spacing w:after="0" w:before="20"/>
              <w:ind w:right="80" w:left="360" w:hanging="280"/>
            </w:pPr>
            <w:r>
              <w:rPr>
                <w:rFonts w:ascii="Calibri" w:hAnsi="Calibri"/>
                <w:b w:val="0"/>
                <w:i/>
                <w:color w:val="222222"/>
                <w:sz w:val="19"/>
              </w:rPr>
              <w:t>a) proporcionar acesso igual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os derrames e prevenir a contaminação de alimentos e água com contaminantes físicos, químicos ou biológicos prejudiciais;</w:t>
            </w:r>
          </w:p>
          <w:p>
            <w:pPr>
              <w:spacing w:after="0" w:before="20"/>
              <w:ind w:right="80" w:left="360" w:hanging="280"/>
            </w:pPr>
            <w:r>
              <w:rPr>
                <w:rFonts w:ascii="Calibri" w:hAnsi="Calibri"/>
                <w:b w:val="0"/>
                <w:i/>
                <w:color w:val="222222"/>
                <w:sz w:val="19"/>
              </w:rPr>
              <w:t>c) prevenir lesões, afogamento ou outro mal aos cães ou gatos;</w:t>
            </w:r>
          </w:p>
          <w:p>
            <w:pPr>
              <w:spacing w:after="0" w:before="20"/>
              <w:ind w:right="80" w:left="360" w:hanging="280"/>
            </w:pPr>
            <w:r>
              <w:rPr>
                <w:rFonts w:ascii="Calibri" w:hAnsi="Calibri"/>
                <w:b w:val="0"/>
                <w:i/>
                <w:color w:val="222222"/>
                <w:sz w:val="19"/>
              </w:rPr>
              <w:t>d) ser facilmente limpas e desinfetadas para prevenir a propagação de doenças.</w:t>
            </w:r>
          </w:p>
          <w:p>
            <w:pPr>
              <w:spacing w:after="0" w:before="140"/>
              <w:ind w:right="80" w:left="80" w:firstLine="0"/>
            </w:pPr>
            <w:r>
              <w:rPr>
                <w:rFonts w:ascii="Calibri" w:hAnsi="Calibri"/>
                <w:b w:val="0"/>
                <w:i/>
                <w:color w:val="222222"/>
                <w:sz w:val="19"/>
              </w:rPr>
              <w:t>3a —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alimentação e hidratação para cães e gatos.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and selling establishments shall ensure that dogs or cats are provided with housing in accordance with point 2 of Annex I. Operators of shelters shall ensure that dogs or cats are provided with housing in accordance with point 2.2 of Annex I.</w:t>
            </w:r>
          </w:p>
          <w:p>
            <w:pPr>
              <w:spacing w:after="0" w:before="14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allow the necessary access to and a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roof, and space divisions, as well as the equipment used for dogs or cats, are constructed and maintained properly, to ensure that they do not pose any risks to the welfare of the dogs or cats;</w:t>
            </w:r>
          </w:p>
          <w:p>
            <w:pPr>
              <w:spacing w:after="0" w:before="20"/>
              <w:ind w:right="80" w:left="80" w:firstLine="0"/>
            </w:pPr>
            <w:r>
              <w:rPr>
                <w:rFonts w:ascii="Calibri" w:hAnsi="Calibri"/>
                <w:b w:val="0"/>
                <w:i w:val="0"/>
                <w:color w:val="222222"/>
                <w:sz w:val="19"/>
              </w:rPr>
              <w:t>ba) all building components of the establishment, including the flooring, and space divisions, as well as the equipment used for dogs or cats, are kept cleaned to ensure that they do not pose any risks to the welfare of the dogs or cats;</w:t>
            </w:r>
          </w:p>
          <w:p>
            <w:pPr>
              <w:spacing w:after="0" w:before="20"/>
              <w:ind w:right="80" w:left="360" w:hanging="280"/>
            </w:pPr>
            <w:r>
              <w:rPr>
                <w:rFonts w:ascii="Calibri" w:hAnsi="Calibri"/>
                <w:b w:val="0"/>
                <w:i w:val="0"/>
                <w:color w:val="222222"/>
                <w:sz w:val="19"/>
              </w:rPr>
              <w:t>c) in breeding and selling establishments where dogs or cats are kept indoors, dust, temperature, relative air humidity and gas concentrations are not harmful to dogs or cats and that ventilation is sufficient to avoid overheating;</w:t>
            </w:r>
          </w:p>
          <w:p>
            <w:pPr>
              <w:spacing w:after="0" w:before="20"/>
              <w:ind w:right="80" w:left="360" w:hanging="280"/>
            </w:pPr>
            <w:r>
              <w:rPr>
                <w:rFonts w:ascii="Calibri" w:hAnsi="Calibri"/>
                <w:b w:val="0"/>
                <w:i w:val="0"/>
                <w:color w:val="222222"/>
                <w:sz w:val="19"/>
              </w:rPr>
              <w:t>d) dogs and cats have enough space to be able to move around freely and to express species-specific behaviour according to their needs with a possibility to withdraw and rest;</w:t>
            </w:r>
          </w:p>
          <w:p>
            <w:pPr>
              <w:spacing w:after="0" w:before="20"/>
              <w:ind w:right="80" w:left="80" w:firstLine="0"/>
            </w:pPr>
            <w:r>
              <w:rPr>
                <w:rFonts w:ascii="Calibri" w:hAnsi="Calibri"/>
                <w:b w:val="0"/>
                <w:i w:val="0"/>
                <w:color w:val="222222"/>
                <w:sz w:val="19"/>
              </w:rPr>
              <w:t>da) dogs or cats have clean, comfortable and dry resting places, sufficiently large and numerous to ensure that all of them can lie down and rest at the same time in a natural position;</w:t>
            </w:r>
          </w:p>
          <w:p>
            <w:pPr>
              <w:spacing w:after="0" w:before="20"/>
              <w:ind w:right="80" w:left="360" w:hanging="280"/>
            </w:pPr>
            <w:r>
              <w:rPr>
                <w:rFonts w:ascii="Calibri" w:hAnsi="Calibri"/>
                <w:b w:val="0"/>
                <w:i w:val="0"/>
                <w:color w:val="222222"/>
                <w:sz w:val="19"/>
              </w:rPr>
              <w:t>e) appropriate structures and measures are in place for dogs or cats kept outdoors to protect them from adverse climatic conditions, including to prevent thermal stress, sunburn and frostbite.</w:t>
            </w:r>
          </w:p>
          <w:p>
            <w:pPr>
              <w:spacing w:after="0" w:before="140"/>
              <w:ind w:right="80" w:left="80" w:firstLine="0"/>
            </w:pPr>
            <w:r>
              <w:rPr>
                <w:rFonts w:ascii="Calibri" w:hAnsi="Calibri"/>
                <w:b w:val="0"/>
                <w:i w:val="0"/>
                <w:color w:val="222222"/>
                <w:sz w:val="19"/>
              </w:rPr>
              <w:t>3. Operators shall not keep dogs or cats in containers.</w:t>
            </w:r>
          </w:p>
          <w:p>
            <w:pPr>
              <w:spacing w:after="0" w:before="140"/>
              <w:ind w:right="80" w:left="80" w:firstLine="0"/>
            </w:pPr>
            <w:r>
              <w:rPr>
                <w:rFonts w:ascii="Calibri" w:hAnsi="Calibri"/>
                <w:b w:val="0"/>
                <w:i w:val="0"/>
                <w:color w:val="222222"/>
                <w:sz w:val="19"/>
              </w:rPr>
              <w:t>By way of derogation, containers may only be used for the transport, short term isolation of individual dogs or cats and during the participation in shows, exhibitions and competitions, for puppies or kittens with reduced thermoregulation capacity or puppies or kittens together with their mothers, provided that stress is minimised and suffering is avoided and the dogs and cats are able to stand and lie down in a natural position.</w:t>
            </w:r>
          </w:p>
          <w:p>
            <w:pPr>
              <w:spacing w:after="0" w:before="14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socialization. The duration of the daily access to an outdoor area or walk shall be minimum one hour in total. The operator may only derogate from these requirements based on written advice of a veterinarian.</w:t>
            </w:r>
          </w:p>
          <w:p>
            <w:pPr>
              <w:spacing w:after="0" w:before="140"/>
              <w:ind w:right="80" w:left="80" w:firstLine="0"/>
            </w:pPr>
            <w:r>
              <w:rPr>
                <w:rFonts w:ascii="Calibri" w:hAnsi="Calibri"/>
                <w:b w:val="0"/>
                <w:i w:val="0"/>
                <w:color w:val="222222"/>
                <w:sz w:val="19"/>
              </w:rPr>
              <w:t>5. When cats are kept in catteries, operators shall design and construct individual enclosures to allow cats to move around freely and to express their natural behaviour.</w:t>
            </w:r>
          </w:p>
          <w:p>
            <w:pPr>
              <w:spacing w:after="0" w:before="14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taking into account their coat type, age, size, breed, and health.</w:t>
            </w:r>
          </w:p>
          <w:p>
            <w:pPr>
              <w:spacing w:after="0" w:before="140"/>
              <w:ind w:right="80" w:left="80" w:firstLine="0"/>
            </w:pPr>
            <w:r>
              <w:rPr>
                <w:rFonts w:ascii="Calibri" w:hAnsi="Calibri"/>
                <w:b w:val="0"/>
                <w:i w:val="0"/>
                <w:color w:val="222222"/>
                <w:sz w:val="19"/>
              </w:rPr>
              <w:t>6a. Operators of breeding and selling establishments shall use, where necessary, heating or cooling systems to maintain good air quality, an appropriate temperature in indoor enclosures at their establishments, and remove excessive moisture.</w:t>
            </w:r>
          </w:p>
          <w:p>
            <w:pPr>
              <w:spacing w:after="0" w:before="140"/>
              <w:ind w:right="80" w:left="80" w:firstLine="0"/>
            </w:pPr>
            <w:r>
              <w:rPr>
                <w:rFonts w:ascii="Calibri" w:hAnsi="Calibri"/>
                <w:b w:val="0"/>
                <w:i w:val="0"/>
                <w:color w:val="222222"/>
                <w:sz w:val="19"/>
              </w:rPr>
              <w:t>7. 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needed, due to the climatic conditions and geographic position of a Member State, by artificial light.</w:t>
            </w:r>
          </w:p>
          <w:p>
            <w:pPr>
              <w:spacing w:after="0" w:before="140"/>
              <w:ind w:right="80" w:left="80" w:firstLine="0"/>
            </w:pPr>
            <w:r>
              <w:rPr>
                <w:rFonts w:ascii="Calibri" w:hAnsi="Calibri"/>
                <w:b w:val="0"/>
                <w:i w:val="0"/>
                <w:color w:val="222222"/>
                <w:sz w:val="19"/>
              </w:rPr>
              <w:t>7a. Paragraphs 2(a), (b), (ba) (da) (e), 6, 6a and 7 shall not apply to livestock guardian dogs, nor to herding dogs, during the periods where such dogs are used for guarding or herding in the context of on foot seasonal transhumance. Paragraph 2(da)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 estabelecimentos de criação e venda devem assegurar que os cães e gatos são alojados de acordo com o ponto 2 do Anexo I. Os operadores de abrigos devem assegurar que os cães e gatos são alojados de acordo com o ponto 2.2 do Anexo I.</w:t>
            </w:r>
          </w:p>
          <w:p>
            <w:pPr>
              <w:spacing w:after="0" w:before="140"/>
              <w:ind w:right="80" w:left="80" w:firstLine="0"/>
            </w:pPr>
            <w:r>
              <w:rPr>
                <w:rFonts w:ascii="Calibri" w:hAnsi="Calibri"/>
                <w:b w:val="0"/>
                <w:i/>
                <w:color w:val="222222"/>
                <w:sz w:val="19"/>
              </w:rPr>
              <w:t>2 — Os operadores devem assegurar que:</w:t>
            </w:r>
          </w:p>
          <w:p>
            <w:pPr>
              <w:spacing w:after="0" w:before="20"/>
              <w:ind w:right="80" w:left="360" w:hanging="280"/>
            </w:pPr>
            <w:r>
              <w:rPr>
                <w:rFonts w:ascii="Calibri" w:hAnsi="Calibri"/>
                <w:b w:val="0"/>
                <w:i/>
                <w:color w:val="222222"/>
                <w:sz w:val="19"/>
              </w:rPr>
              <w:t>a) os estabelecimentos onde os cães e gatos são mantidos e os equipamentos utilizados são adequados aos tipos e número de cães ou gatos, e permitem o acesso necessário e inspeção completa de todos os cães ou gatos;</w:t>
            </w:r>
          </w:p>
          <w:p>
            <w:pPr>
              <w:spacing w:after="0" w:before="20"/>
              <w:ind w:right="80" w:left="360" w:hanging="280"/>
            </w:pPr>
            <w:r>
              <w:rPr>
                <w:rFonts w:ascii="Calibri" w:hAnsi="Calibri"/>
                <w:b w:val="0"/>
                <w:i/>
                <w:color w:val="222222"/>
                <w:sz w:val="19"/>
              </w:rPr>
              <w:t>b) todos os componentes do edifício do estabelecimento, incluindo o piso, telhado e divisões, bem como o equipamento utilizado para cães ou gatos, são construídos e mantidos adequadamente, para garantir que não representam riscos ao bem-estar dos cães ou gatos;</w:t>
            </w:r>
          </w:p>
          <w:p>
            <w:pPr>
              <w:spacing w:after="0" w:before="20"/>
              <w:ind w:right="80" w:left="80" w:firstLine="0"/>
            </w:pPr>
            <w:r>
              <w:rPr>
                <w:rFonts w:ascii="Calibri" w:hAnsi="Calibri"/>
                <w:b w:val="0"/>
                <w:i/>
                <w:color w:val="222222"/>
                <w:sz w:val="19"/>
              </w:rPr>
              <w:t>ba) todos os componentes do edifício do estabelecimento, incluindo o piso e as divisões, bem como o equipamento utilizado para cães ou gatos, são mantidos limpos para garantir que não representam riscos ao bem-estar dos cães ou gatos;</w:t>
            </w:r>
          </w:p>
          <w:p>
            <w:pPr>
              <w:spacing w:after="0" w:before="20"/>
              <w:ind w:right="80" w:left="360" w:hanging="280"/>
            </w:pPr>
            <w:r>
              <w:rPr>
                <w:rFonts w:ascii="Calibri" w:hAnsi="Calibri"/>
                <w:b w:val="0"/>
                <w:i/>
                <w:color w:val="222222"/>
                <w:sz w:val="19"/>
              </w:rPr>
              <w:t>c) nos estabelecimentos de criação e venda onde os cães e gatos são mantidos em recinto fechado, a poeira, temperatura, humidade relativa do ar e concentrações de gases não são prejudiciais aos cães ou gatos e a ventilação é suficiente para evitar o aquecimento excessivo;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80" w:firstLine="0"/>
            </w:pPr>
            <w:r>
              <w:rPr>
                <w:rFonts w:ascii="Calibri" w:hAnsi="Calibri"/>
                <w:b w:val="0"/>
                <w:i/>
                <w:color w:val="222222"/>
                <w:sz w:val="19"/>
              </w:rPr>
              <w:t>da) os cães ou gatos têm locais de repouso limpos, confortáveis e secos, suficientemente grandes e numerosos para garantir que todos podem deitar-se e descansar simultaneamente numa posição natural;</w:t>
            </w:r>
          </w:p>
          <w:p>
            <w:pPr>
              <w:spacing w:after="0" w:before="20"/>
              <w:ind w:right="80" w:left="360" w:hanging="280"/>
            </w:pPr>
            <w:r>
              <w:rPr>
                <w:rFonts w:ascii="Calibri" w:hAnsi="Calibri"/>
                <w:b w:val="0"/>
                <w:i/>
                <w:color w:val="222222"/>
                <w:sz w:val="19"/>
              </w:rPr>
              <w:t>e) estruturas e medidas apropriadas são implementadas para cães ou gatos mantidos ao ar livre para os proteger de condições climáticas adversas, incluindo para prevenir stress térmico, queimaduras solares e congelamento.</w:t>
            </w:r>
          </w:p>
          <w:p>
            <w:pPr>
              <w:spacing w:after="0" w:before="140"/>
              <w:ind w:right="80" w:left="80" w:firstLine="0"/>
            </w:pPr>
            <w:r>
              <w:rPr>
                <w:rFonts w:ascii="Calibri" w:hAnsi="Calibri"/>
                <w:b w:val="0"/>
                <w:i/>
                <w:color w:val="222222"/>
                <w:sz w:val="19"/>
              </w:rPr>
              <w:t>3 — Os operadores não devem manter cães ou gatos em contentores.</w:t>
            </w:r>
          </w:p>
          <w:p>
            <w:pPr>
              <w:spacing w:after="0" w:before="140"/>
              <w:ind w:right="80" w:left="80" w:firstLine="0"/>
            </w:pPr>
            <w:r>
              <w:rPr>
                <w:rFonts w:ascii="Calibri" w:hAnsi="Calibri"/>
                <w:b w:val="0"/>
                <w:i/>
                <w:color w:val="222222"/>
                <w:sz w:val="19"/>
              </w:rPr>
              <w:t>Por derrogação, contentores podem ser utilizados apenas para transporte, isolamento de curta duração de cães ou gatos individuais e durante participação em espetáculos, exposições e competições, para cachorros ou gatinhos com capacidade de termorregulação reduzida ou cachorros ou gatinhos juntamente com as suas mães, desde que o stress seja minimizado e o sofrimento evitado e os cães e gatos sejam capazes de estar de pé e deitar-se numa posição natural.</w:t>
            </w:r>
          </w:p>
          <w:p>
            <w:pPr>
              <w:spacing w:after="0" w:before="140"/>
              <w:ind w:right="80" w:left="80" w:firstLine="0"/>
            </w:pPr>
            <w:r>
              <w:rPr>
                <w:rFonts w:ascii="Calibri" w:hAnsi="Calibri"/>
                <w:b w:val="0"/>
                <w:i/>
                <w:color w:val="222222"/>
                <w:sz w:val="19"/>
              </w:rPr>
              <w:t>4 — Os operadores não devem manter cães com mais de 8 semanas exclusivamente em recintos fechados. Esses cães devem ter acesso diário a uma área ao ar livre, ou ser passeados diariamente, para permitir exercício, exploração e socialização. A duração do acesso diário a uma área ao ar livre ou passeio deve ser mínimo uma hora no total. O operador pode derrogar destes requisitos apenas com base em aconselhamento escrito de um médico veterinário.</w:t>
            </w:r>
          </w:p>
          <w:p>
            <w:pPr>
              <w:spacing w:after="0" w:before="140"/>
              <w:ind w:right="80" w:left="80" w:firstLine="0"/>
            </w:pPr>
            <w:r>
              <w:rPr>
                <w:rFonts w:ascii="Calibri" w:hAnsi="Calibri"/>
                <w:b w:val="0"/>
                <w:i/>
                <w:color w:val="222222"/>
                <w:sz w:val="19"/>
              </w:rPr>
              <w:t>5 — Quando gatos são mantidos em viveiros, os operadores devem desenhar e construir recintos individuais que permitam aos gatos moverem-se livremente e expressar o seu comportamento natural.</w:t>
            </w:r>
          </w:p>
          <w:p>
            <w:pPr>
              <w:spacing w:after="0" w:before="140"/>
              <w:ind w:right="80" w:left="80" w:firstLine="0"/>
            </w:pPr>
            <w:r>
              <w:rPr>
                <w:rFonts w:ascii="Calibri" w:hAnsi="Calibri"/>
                <w:b w:val="0"/>
                <w:i/>
                <w:color w:val="222222"/>
                <w:sz w:val="19"/>
              </w:rPr>
              <w:t>6 — Os operadores de estabelecimentos de criação e venda devem assegurar que em áreas fechadas onde cães e gatos são mantidos, uma zona termoneutra apropriada é mantida levando em conta o seu tipo de pelagem, idade, tamanho, raça e saúde.</w:t>
            </w:r>
          </w:p>
          <w:p>
            <w:pPr>
              <w:spacing w:after="0" w:before="140"/>
              <w:ind w:right="80" w:left="80" w:firstLine="0"/>
            </w:pPr>
            <w:r>
              <w:rPr>
                <w:rFonts w:ascii="Calibri" w:hAnsi="Calibri"/>
                <w:b w:val="0"/>
                <w:i/>
                <w:color w:val="222222"/>
                <w:sz w:val="19"/>
              </w:rPr>
              <w:t>6a — Os operadores de estabelecimentos de criação e venda devem utilizar, quando necessário, sistemas de aquecimento ou arrefecimento para manter boa qualidade do ar, temperatura apropriada em recintos fechados nos seus estabelecimentos, e remover humidade excessiva.</w:t>
            </w:r>
          </w:p>
          <w:p>
            <w:pPr>
              <w:spacing w:after="0" w:before="140"/>
              <w:ind w:right="80" w:left="80" w:firstLine="0"/>
            </w:pPr>
            <w:r>
              <w:rPr>
                <w:rFonts w:ascii="Calibri" w:hAnsi="Calibri"/>
                <w:b w:val="0"/>
                <w:i/>
                <w:color w:val="222222"/>
                <w:sz w:val="19"/>
              </w:rPr>
              <w:t>7 — Os operadores devem assegurar que os cães e gatos são expostos a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parágrafo anterior,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 Os parágrafos 2(a), (b), (ba) (da) (e), 6, 6a e 7 não se aplicam aos cães de guarda de gado, nem aos cães de pastoreio, durante os períodos em que tais cães são utilizados para guarda ou pastoreio no contexto de transumância sazonal a pé. O parágrafo 2(da) não se aplica aos cães de guarda de gado durante os períodos em que tais cães são utilizados para fins de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detalhados de alojamento para cães e gatos em diferentes tipos de estabelecimentos (criação, venda, abrigos).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13.º do Regulamento 2023/0447 (PE/Conselho)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100"/>
              <w:ind w:right="80" w:left="360" w:hanging="2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after="0" w:before="20"/>
              <w:ind w:right="80" w:left="360" w:hanging="2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after="0" w:before="20"/>
              <w:ind w:right="80" w:left="360" w:hanging="2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after="0" w:before="20"/>
              <w:ind w:right="80" w:left="360" w:hanging="280"/>
            </w:pPr>
            <w:r>
              <w:rPr>
                <w:rFonts w:ascii="Calibri" w:hAnsi="Calibri"/>
                <w:b w:val="0"/>
                <w:i w:val="0"/>
                <w:color w:val="222222"/>
                <w:sz w:val="19"/>
              </w:rPr>
              <w:t>(e) enrichment do not present a significant risk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derogations from point (c) in cases of emergencies,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 immediate action ending the life of the dog or cat with minimum pain and suffering using a method inducing instant death is undertaken by a trained competent person;</w:t>
            </w:r>
          </w:p>
          <w:p>
            <w:pPr>
              <w:spacing w:after="0" w:before="20"/>
              <w:ind w:right="80" w:left="360" w:hanging="280"/>
            </w:pPr>
            <w:r>
              <w:rPr>
                <w:rFonts w:ascii="Calibri" w:hAnsi="Calibri"/>
                <w:b w:val="0"/>
                <w:i w:val="0"/>
                <w:color w:val="222222"/>
                <w:sz w:val="19"/>
              </w:rPr>
              <w:t>(ii) the operator keeps a record of the use of the derogation for purposes of the official control.</w:t>
            </w:r>
          </w:p>
          <w:p>
            <w:pPr>
              <w:spacing w:after="0" w:before="140"/>
              <w:ind w:right="80" w:left="80" w:firstLine="0"/>
            </w:pPr>
            <w:r>
              <w:rPr>
                <w:rFonts w:ascii="Calibri" w:hAnsi="Calibri"/>
                <w:b w:val="0"/>
                <w:i w:val="0"/>
                <w:color w:val="222222"/>
                <w:sz w:val="19"/>
              </w:rPr>
              <w:t>2. Operators of breeding establishments shall additionally ensure that:</w:t>
            </w:r>
          </w:p>
          <w:p>
            <w:pPr>
              <w:spacing w:after="0" w:before="10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only bred if they have reached a minimum age and skeletal maturity in accordance with point 3 of Annex I, and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(PE/Conselho)</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14.º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or cats in accordance with point 4 of Annex I.</w:t>
            </w:r>
          </w:p>
          <w:p>
            <w:pPr>
              <w:spacing w:after="0" w:before="140"/>
              <w:ind w:right="80" w:left="80" w:firstLine="0"/>
            </w:pPr>
            <w:r>
              <w:rPr>
                <w:rFonts w:ascii="Calibri" w:hAnsi="Calibri"/>
                <w:b w:val="0"/>
                <w:i w:val="0"/>
                <w:color w:val="222222"/>
                <w:sz w:val="19"/>
              </w:rPr>
              <w:t>2. Operators shall not keep dogs or cats in areas restraining their natural movements, except in case of Article 12(3), second sub-paragraph, or for performing the following procedures or treatments:</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individual identification of dogs or cats and reading the identification information;</w:t>
            </w:r>
          </w:p>
          <w:p>
            <w:pPr>
              <w:spacing w:after="0" w:before="20"/>
              <w:ind w:right="80" w:left="360" w:hanging="280"/>
            </w:pPr>
            <w:r>
              <w:rPr>
                <w:rFonts w:ascii="Calibri" w:hAnsi="Calibri"/>
                <w:b w:val="0"/>
                <w:i w:val="0"/>
                <w:color w:val="222222"/>
                <w:sz w:val="19"/>
              </w:rPr>
              <w:t>c)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 including surgical treatment or prescribed rehabilitation.</w:t>
            </w:r>
          </w:p>
          <w:p>
            <w:pPr>
              <w:spacing w:after="0" w:before="140"/>
              <w:ind w:right="80" w:left="80" w:firstLine="0"/>
            </w:pPr>
            <w:r>
              <w:rPr>
                <w:rFonts w:ascii="Calibri" w:hAnsi="Calibri"/>
                <w:b w:val="0"/>
                <w:i w:val="0"/>
                <w:color w:val="222222"/>
                <w:sz w:val="19"/>
              </w:rPr>
              <w:t>3. Tethering for more than 1 hour shall be prohibited, except for the duration of a medical treatment or participation in shows, exhibitions and competitions of dogs and cats.</w:t>
            </w:r>
          </w:p>
          <w:p>
            <w:pPr>
              <w:spacing w:after="0" w:before="140"/>
              <w:ind w:right="80" w:left="80" w:firstLine="0"/>
            </w:pPr>
            <w:r>
              <w:rPr>
                <w:rFonts w:ascii="Calibri" w:hAnsi="Calibri"/>
                <w:b w:val="0"/>
                <w:i w:val="0"/>
                <w:color w:val="222222"/>
                <w:sz w:val="19"/>
              </w:rPr>
              <w:t>3a. Member States may grant derogations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4. Operators shall ensure that conditions are in place to allow dogs or cats to express social non-harmful behaviours, species-specific behaviours and the possibility to experience positive emotions.</w:t>
            </w:r>
          </w:p>
          <w:p>
            <w:pPr>
              <w:spacing w:after="0" w:before="140"/>
              <w:ind w:right="80" w:left="80" w:firstLine="0"/>
            </w:pPr>
            <w:r>
              <w:rPr>
                <w:rFonts w:ascii="Calibri" w:hAnsi="Calibri"/>
                <w:b w:val="0"/>
                <w:i w:val="0"/>
                <w:color w:val="222222"/>
                <w:sz w:val="19"/>
              </w:rPr>
              <w:t>5. Operators shall ensure that dogs or cats can socialise in accordance with point 4 of Annex I. Operators of breeding establishments shall document their strategy for such socialisation.</w:t>
            </w:r>
          </w:p>
          <w:p>
            <w:pPr>
              <w:spacing w:after="0" w:before="140"/>
              <w:ind w:right="80" w:left="80" w:firstLine="0"/>
            </w:pPr>
            <w:r>
              <w:rPr>
                <w:rFonts w:ascii="Calibri" w:hAnsi="Calibri"/>
                <w:b w:val="0"/>
                <w:i w:val="0"/>
                <w:color w:val="222222"/>
                <w:sz w:val="19"/>
              </w:rPr>
              <w:t>5a. The first subparagraph shall not apply to livestock guardian dogs kept in breeding establishments during the periods when such dogs are used for guarding or training purposes nor to herding dogs during seasonal transhumance.</w:t>
            </w:r>
          </w:p>
          <w:p>
            <w:pPr>
              <w:spacing w:after="0" w:before="140"/>
              <w:ind w:right="80" w:left="80" w:firstLine="0"/>
            </w:pPr>
            <w:r>
              <w:rPr>
                <w:rFonts w:ascii="Calibri" w:hAnsi="Calibri"/>
                <w:b w:val="0"/>
                <w:i w:val="0"/>
                <w:color w:val="222222"/>
                <w:sz w:val="19"/>
              </w:rPr>
              <w:t>5b. Operators shall ensure that enrichment is provided and accessible to all dogs or cats, creating a stimulating environment, enabling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medidas são tomadas para satisfazer as necessidades comportamentais dos cães ou gatos de acordo com o ponto 4 do Anexo I.</w:t>
            </w:r>
          </w:p>
          <w:p>
            <w:pPr>
              <w:spacing w:after="0" w:before="140"/>
              <w:ind w:right="80" w:left="80" w:firstLine="0"/>
            </w:pPr>
            <w:r>
              <w:rPr>
                <w:rFonts w:ascii="Calibri" w:hAnsi="Calibri"/>
                <w:b w:val="0"/>
                <w:i/>
                <w:color w:val="222222"/>
                <w:sz w:val="19"/>
              </w:rPr>
              <w:t>2 — Os operadores não devem manter cães ou gatos em áreas que restringem os seus movimentos naturais, exceto no caso do Artigo 12(3),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colheita de amostras e vacinações;</w:t>
            </w:r>
          </w:p>
          <w:p>
            <w:pPr>
              <w:spacing w:after="0" w:before="20"/>
              <w:ind w:right="80" w:left="360" w:hanging="280"/>
            </w:pPr>
            <w:r>
              <w:rPr>
                <w:rFonts w:ascii="Calibri" w:hAnsi="Calibri"/>
                <w:b w:val="0"/>
                <w:i/>
                <w:color w:val="222222"/>
                <w:sz w:val="19"/>
              </w:rPr>
              <w:t>d) procedimentos para limpeza, higiene, saúde ou fins reprodutivos que não o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 A amarração por mais de 1 hora é proibida, exceto pela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 Os Estados-Membros podem conceder derrogações do parágrafo 3 para cães destinados ao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 Os operadores devem assegurar que condições estão em lugar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 Os operadores devem assegurar que cães ou gatos podem socializar de acordo com o ponto 4 do Anexo I. Os operadores de estabelecimentos de criação devem documentar sua estratégia para tal socialização.</w:t>
            </w:r>
          </w:p>
          <w:p>
            <w:pPr>
              <w:spacing w:after="0" w:before="140"/>
              <w:ind w:right="80" w:left="80" w:firstLine="0"/>
            </w:pPr>
            <w:r>
              <w:rPr>
                <w:rFonts w:ascii="Calibri" w:hAnsi="Calibri"/>
                <w:b w:val="0"/>
                <w:i/>
                <w:color w:val="222222"/>
                <w:sz w:val="19"/>
              </w:rPr>
              <w:t>5a — O parágrafo anterior não se aplica aos cães de guarda de gado mantidos em estabelecimentos de criação durante os períodos em que tais cães são utilizados para fins de guarda ou treino nem aos cães de pastoreio durante a transumância sazonal.</w:t>
            </w:r>
          </w:p>
          <w:p>
            <w:pPr>
              <w:spacing w:after="0" w:before="140"/>
              <w:ind w:right="80" w:left="80" w:firstLine="0"/>
            </w:pPr>
            <w:r>
              <w:rPr>
                <w:rFonts w:ascii="Calibri" w:hAnsi="Calibri"/>
                <w:b w:val="0"/>
                <w:i/>
                <w:color w:val="222222"/>
                <w:sz w:val="19"/>
              </w:rPr>
              <w:t>5b — Os operadores devem assegurar que enriquecimento é fornecido e acessível a todos os cães ou gatos, criando um ambiente estimulante, permitindo comportamento específico da espécie e reduzindo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de satisfação das necessidades comportamentais de cães e gatos. Proibição de retenção em áreas restritivas.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15.º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upon medical indication, which may include prophylactic, with the sole purpose of preserving, improving the health of dogs or cats or preventing injury. In such case, the procedure shall only be performed under anaesthesia and prolonged analgesia and by a veterinarian.</w:t>
            </w:r>
          </w:p>
          <w:p>
            <w:pPr>
              <w:spacing w:after="0" w:before="140"/>
              <w:ind w:right="80" w:left="80" w:firstLine="0"/>
            </w:pPr>
            <w:r>
              <w:rPr>
                <w:rFonts w:ascii="Calibri" w:hAnsi="Calibri"/>
                <w:b w:val="0"/>
                <w:i w:val="0"/>
                <w:color w:val="222222"/>
                <w:sz w:val="19"/>
              </w:rPr>
              <w:t>1a. The medical indication for the mutilation and the details of procedure carried out shall be documented by a veterinarian. This document shall be retained by the operator until the dog or cat, together with this document, is transferred to another establishment or owner. The operator of the establishment where the mutilation was performed shall retain a copy of the document for three years after the transfer of the dog or cat.</w:t>
            </w:r>
          </w:p>
          <w:p>
            <w:pPr>
              <w:spacing w:after="0" w:before="140"/>
              <w:ind w:right="80" w:left="80" w:firstLine="0"/>
            </w:pPr>
            <w:r>
              <w:rPr>
                <w:rFonts w:ascii="Calibri" w:hAnsi="Calibri"/>
                <w:b w:val="0"/>
                <w:i w:val="0"/>
                <w:color w:val="222222"/>
                <w:sz w:val="19"/>
              </w:rPr>
              <w:t>1b. 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2. Operators shall ensure that neutering is only performed under anaesthesia and prolonged analgesia and by a veterinarian. By way of derogation, Member States may allow that the neutering of male cats is performed by a licensed veterinary nurse.</w:t>
            </w:r>
          </w:p>
          <w:p>
            <w:pPr>
              <w:spacing w:after="0" w:before="140"/>
              <w:ind w:right="80" w:left="80" w:firstLine="0"/>
            </w:pPr>
            <w:r>
              <w:rPr>
                <w:rFonts w:ascii="Calibri" w:hAnsi="Calibri"/>
                <w:b w:val="0"/>
                <w:i w:val="0"/>
                <w:color w:val="222222"/>
                <w:sz w:val="19"/>
              </w:rPr>
              <w:t>3.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for medical reasons in which case the duration shall be limited to the minimum period necessary;</w:t>
            </w:r>
          </w:p>
          <w:p>
            <w:pPr>
              <w:spacing w:after="0" w:before="20"/>
              <w:ind w:right="80" w:left="360" w:hanging="280"/>
            </w:pPr>
            <w:r>
              <w:rPr>
                <w:rFonts w:ascii="Calibri" w:hAnsi="Calibri"/>
                <w:b w:val="0"/>
                <w:i w:val="0"/>
                <w:color w:val="222222"/>
                <w:sz w:val="19"/>
              </w:rPr>
              <w:t>b) kicking, hitting, dragging, throwing, squeezing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of muzzles, unless required for medical reasons, animal or human safety reasons, in which case the duration shall be limited to the minimum period necessary and the dog or cat shall be supervised;</w:t>
            </w:r>
          </w:p>
          <w:p>
            <w:pPr>
              <w:spacing w:after="0" w:before="20"/>
              <w:ind w:right="80" w:left="80" w:firstLine="0"/>
            </w:pPr>
            <w:r>
              <w:rPr>
                <w:rFonts w:ascii="Calibri" w:hAnsi="Calibri"/>
                <w:b w:val="0"/>
                <w:i w:val="0"/>
                <w:color w:val="222222"/>
                <w:sz w:val="19"/>
              </w:rPr>
              <w:t>da) using prong collars;</w:t>
            </w:r>
          </w:p>
          <w:p>
            <w:pPr>
              <w:spacing w:after="0" w:before="20"/>
              <w:ind w:right="80" w:left="80" w:firstLine="0"/>
            </w:pPr>
            <w:r>
              <w:rPr>
                <w:rFonts w:ascii="Calibri" w:hAnsi="Calibri"/>
                <w:b w:val="0"/>
                <w:i w:val="0"/>
                <w:color w:val="222222"/>
                <w:sz w:val="19"/>
              </w:rPr>
              <w:t>db) using choke collars without safety stop;</w:t>
            </w:r>
          </w:p>
          <w:p>
            <w:pPr>
              <w:spacing w:after="0" w:before="20"/>
              <w:ind w:right="80" w:left="360" w:hanging="280"/>
            </w:pPr>
            <w:r>
              <w:rPr>
                <w:rFonts w:ascii="Calibri" w:hAnsi="Calibri"/>
                <w:b w:val="0"/>
                <w:i w:val="0"/>
                <w:color w:val="222222"/>
                <w:sz w:val="19"/>
              </w:rPr>
              <w:t>e) 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4. Member States may grant derogations from paragraph 3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 mutilações, incluindo corte de orelhas, corte de cauda, remoção de garras ou outra amputação parcial ou completa de dígitos, e ressecção de cordas vocais ou pregas, não são realizadas a menos que seja por indicação médica, que pode incluir profilática, com o único propósito de preservar, melhorar a saúde de cães ou gatos ou prevenir lesões.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 A indicação médica para a mutilação e os detalhes do procedimento realizado devem ser documentados por um médico veterinário. Este documento deve ser retido pelo operador até o cão ou gato, juntamente com este documento, ser transferido para outro estabelecimento ou proprietário. O operador do estabelecimento onde a mutilação foi realizada deve reter uma cópia do documento por três anos após a transferência do cão ou gato.</w:t>
            </w:r>
          </w:p>
          <w:p>
            <w:pPr>
              <w:spacing w:after="0" w:before="140"/>
              <w:ind w:right="80" w:left="80" w:firstLine="0"/>
            </w:pPr>
            <w:r>
              <w:rPr>
                <w:rFonts w:ascii="Calibri" w:hAnsi="Calibri"/>
                <w:b w:val="0"/>
                <w:i/>
                <w:color w:val="222222"/>
                <w:sz w:val="19"/>
              </w:rPr>
              <w:t>1b — Por derrogação do parágrafo 1, os Estados-Membros podem permitir corte de orelhas por entalhe ou corte de orelhas de gato no contexto de marcação de gatos vadios quando castrados sob um programa de captura-castração-libertação.</w:t>
            </w:r>
          </w:p>
          <w:p>
            <w:pPr>
              <w:spacing w:after="0" w:before="140"/>
              <w:ind w:right="80" w:left="80" w:firstLine="0"/>
            </w:pPr>
            <w:r>
              <w:rPr>
                <w:rFonts w:ascii="Calibri" w:hAnsi="Calibri"/>
                <w:b w:val="0"/>
                <w:i/>
                <w:color w:val="222222"/>
                <w:sz w:val="19"/>
              </w:rPr>
              <w:t>2 — Os operadores devem assegurar que a castração é realizada apenas sob anestesia e analgesia prolongada e por um médico veterinário. Por derrogação, os Estados-Membros podem permitir que a castração de gatos machos seja realizada por um enfermeiro veterinário licenciado.</w:t>
            </w:r>
          </w:p>
          <w:p>
            <w:pPr>
              <w:spacing w:after="0" w:before="140"/>
              <w:ind w:right="80" w:left="80" w:firstLine="0"/>
            </w:pPr>
            <w:r>
              <w:rPr>
                <w:rFonts w:ascii="Calibri" w:hAnsi="Calibri"/>
                <w:b w:val="0"/>
                <w:i/>
                <w:color w:val="222222"/>
                <w:sz w:val="19"/>
              </w:rPr>
              <w:t>3 —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amarração de partes do corpo a menos que por motivos médicos, caso em que a duração deve ser limitada ao período mínimo necessário;</w:t>
            </w:r>
          </w:p>
          <w:p>
            <w:pPr>
              <w:spacing w:after="0" w:before="20"/>
              <w:ind w:right="80" w:left="360" w:hanging="280"/>
            </w:pPr>
            <w:r>
              <w:rPr>
                <w:rFonts w:ascii="Calibri" w:hAnsi="Calibri"/>
                <w:b w:val="0"/>
                <w:i/>
                <w:color w:val="222222"/>
                <w:sz w:val="19"/>
              </w:rPr>
              <w:t>b) chutar, bater, arrastar, lançar, apertar cães ou gatos;</w:t>
            </w:r>
          </w:p>
          <w:p>
            <w:pPr>
              <w:spacing w:after="0" w:before="20"/>
              <w:ind w:right="80" w:left="360" w:hanging="280"/>
            </w:pPr>
            <w:r>
              <w:rPr>
                <w:rFonts w:ascii="Calibri" w:hAnsi="Calibri"/>
                <w:b w:val="0"/>
                <w:i/>
                <w:color w:val="222222"/>
                <w:sz w:val="19"/>
              </w:rPr>
              <w:t>c) aplicação de corrente elétrica a cães ou gatos a menos que realizada por motivos médicos;</w:t>
            </w:r>
          </w:p>
          <w:p>
            <w:pPr>
              <w:spacing w:after="0" w:before="20"/>
              <w:ind w:right="80" w:left="360" w:hanging="280"/>
            </w:pPr>
            <w:r>
              <w:rPr>
                <w:rFonts w:ascii="Calibri" w:hAnsi="Calibri"/>
                <w:b w:val="0"/>
                <w:i/>
                <w:color w:val="222222"/>
                <w:sz w:val="19"/>
              </w:rPr>
              <w:t>d) uso de focinheiras, a menos que necessário por motivos médicos, segurança animal ou humana, caso em que a duração deve ser limitada ao período mínimo necessário e o cão ou gato deve ser supervisionado;</w:t>
            </w:r>
          </w:p>
          <w:p>
            <w:pPr>
              <w:spacing w:after="0" w:before="20"/>
              <w:ind w:right="80" w:left="80" w:firstLine="0"/>
            </w:pPr>
            <w:r>
              <w:rPr>
                <w:rFonts w:ascii="Calibri" w:hAnsi="Calibri"/>
                <w:b w:val="0"/>
                <w:i/>
                <w:color w:val="222222"/>
                <w:sz w:val="19"/>
              </w:rPr>
              <w:t>da) uso de coleiras de espinhos;</w:t>
            </w:r>
          </w:p>
          <w:p>
            <w:pPr>
              <w:spacing w:after="0" w:before="20"/>
              <w:ind w:right="80" w:left="80" w:firstLine="0"/>
            </w:pPr>
            <w:r>
              <w:rPr>
                <w:rFonts w:ascii="Calibri" w:hAnsi="Calibri"/>
                <w:b w:val="0"/>
                <w:i/>
                <w:color w:val="222222"/>
                <w:sz w:val="19"/>
              </w:rPr>
              <w:t>db) uso de coleiras de enforcamento sem sistema de segurança;</w:t>
            </w:r>
          </w:p>
          <w:p>
            <w:pPr>
              <w:spacing w:after="0" w:before="20"/>
              <w:ind w:right="80" w:left="360" w:hanging="280"/>
            </w:pPr>
            <w:r>
              <w:rPr>
                <w:rFonts w:ascii="Calibri" w:hAnsi="Calibri"/>
                <w:b w:val="0"/>
                <w:i/>
                <w:color w:val="222222"/>
                <w:sz w:val="19"/>
              </w:rPr>
              <w:t>e) levantamento de cães ou gatos pelos membros, cabeça, orelhas, cauda ou pelo, ou levantamento de cães ou gatos adultos pela pele.</w:t>
            </w:r>
          </w:p>
          <w:p>
            <w:pPr>
              <w:spacing w:after="0" w:before="140"/>
              <w:ind w:right="80" w:left="80" w:firstLine="0"/>
            </w:pPr>
            <w:r>
              <w:rPr>
                <w:rFonts w:ascii="Calibri" w:hAnsi="Calibri"/>
                <w:b w:val="0"/>
                <w:i/>
                <w:color w:val="222222"/>
                <w:sz w:val="19"/>
              </w:rPr>
              <w:t>4 — Os Estados-Membros podem conceder derrogações do parágrafo 3 para cães destinados ao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@rgbeac]</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no @codigo]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 ser preenchido</w:t>
            </w:r>
          </w:p>
          <w:p>
            <w:pPr>
              <w:spacing w:after="0" w:before="140"/>
              <w:ind w:right="80" w:left="80" w:firstLine="0"/>
            </w:pPr>
            <w:r>
              <w:rPr>
                <w:rFonts w:ascii="Calibri" w:hAnsi="Calibri"/>
                <w:b w:val="0"/>
                <w:i w:val="0"/>
                <w:color w:val="222222"/>
                <w:sz w:val="19"/>
              </w:rPr>
              <w:t>[Pesquisa em progresso na legislação vigente]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conformidade com legislação portuguesa vigente</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Código do Animal</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Verificar alinhamento com RGBEAC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Requisitos relativos a práticas dolorosas e mutilações em cães e gatos. Restrições a práticas de manipulação causando dor. Novo artigo introduzido pelo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novo do Regulamento 2023/0447. Requer integração na legislação portuguesa.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of breeding and selling establishments shall not use in aesthetic shows, exhibitions and competitions of dogs and cats, dogs or cats with excessive conformational traits or dogs or cats which have been mutilated in such a way that results in an alteration of physical characteristics.</w:t>
            </w:r>
          </w:p>
          <w:p>
            <w:pPr>
              <w:spacing w:after="0" w:before="140"/>
              <w:ind w:right="80" w:left="80" w:firstLine="0"/>
            </w:pPr>
            <w:r>
              <w:rPr>
                <w:rFonts w:ascii="Calibri" w:hAnsi="Calibri"/>
                <w:b w:val="0"/>
                <w:i w:val="0"/>
                <w:color w:val="222222"/>
                <w:sz w:val="19"/>
              </w:rPr>
              <w:t>Organisers of aesthetic shows, exhibitions and competitions of dogs and cats shall exclude from such shows, exhibitions and competitions dogs and cats which have excessive conformational traits or dogs or cats which have been mutilated in such a way that results in an alteration of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(autorização, identificação, vacinação, supervisão veterinária)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(concursos e exposições com requisitos específicos)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(participação em eventos com normas de bem-estar)</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17.º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after="0" w:before="140"/>
              <w:ind w:right="80" w:left="80" w:firstLine="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after="0" w:before="140"/>
              <w:ind w:right="80" w:left="80" w:firstLine="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p>
            <w:pPr>
              <w:spacing w:after="0" w:before="140"/>
              <w:ind w:right="80" w:left="80" w:firstLine="0"/>
            </w:pPr>
            <w:r>
              <w:rPr>
                <w:rFonts w:ascii="Calibri" w:hAnsi="Calibri"/>
                <w:b w:val="0"/>
                <w:i w:val="0"/>
                <w:color w:val="222222"/>
                <w:sz w:val="19"/>
              </w:rPr>
              <w:t>2. The implantation of the transponder shall be performed by a veterinarian. Member States may allow the implantation of transponders in cats to be performed by a person other than a veterinarian, if it is done under the responsibility of a veterinarian.</w:t>
            </w:r>
          </w:p>
          <w:p>
            <w:pPr>
              <w:spacing w:after="0" w:before="140"/>
              <w:ind w:right="80" w:left="80" w:firstLine="0"/>
            </w:pPr>
            <w:r>
              <w:rPr>
                <w:rFonts w:ascii="Calibri" w:hAnsi="Calibri"/>
                <w:b w:val="0"/>
                <w:i w:val="0"/>
                <w:color w:val="222222"/>
                <w:sz w:val="19"/>
              </w:rPr>
              <w:t>3. Dogs and cats which have been individually identified by means of an injectable transponder containing a microchip, in accordance with national legislation prior to entry into force of this Regulation, shall be recognised as identified in accordance with the requirements of this Article.</w:t>
            </w:r>
          </w:p>
          <w:p>
            <w:pPr>
              <w:spacing w:after="0" w:before="140"/>
              <w:ind w:right="80" w:left="80" w:firstLine="0"/>
            </w:pPr>
            <w:r>
              <w:rPr>
                <w:rFonts w:ascii="Calibri" w:hAnsi="Calibri"/>
                <w:b w:val="0"/>
                <w:i w:val="0"/>
                <w:color w:val="222222"/>
                <w:sz w:val="19"/>
              </w:rPr>
              <w:t>4. Within two working days after their identification, the dogs and cats shall be registered by a veterinarian in a national database.</w:t>
            </w:r>
          </w:p>
          <w:p>
            <w:pPr>
              <w:spacing w:after="0" w:before="140"/>
              <w:ind w:right="80" w:left="80" w:firstLine="0"/>
            </w:pPr>
            <w:r>
              <w:rPr>
                <w:rFonts w:ascii="Calibri" w:hAnsi="Calibri"/>
                <w:b w:val="0"/>
                <w:i w:val="0"/>
                <w:color w:val="222222"/>
                <w:sz w:val="19"/>
              </w:rPr>
              <w:t>5. For dogs and cats kept in establishments, the registration shall be made in the name of the operator of the establishment. For dogs and cats placed in foster homes, the registration shall be made in the name of the person responsible for the foster home. For dogs and cats owned by pet owners or by any other natural or legal person, the registration shall be made in the name of the pet owner or the natural or legal person.</w:t>
            </w:r>
          </w:p>
          <w:p>
            <w:pPr>
              <w:spacing w:after="0" w:before="140"/>
              <w:ind w:right="80" w:left="80" w:firstLine="0"/>
            </w:pPr>
            <w:r>
              <w:rPr>
                <w:rFonts w:ascii="Calibri" w:hAnsi="Calibri"/>
                <w:b w:val="0"/>
                <w:i w:val="0"/>
                <w:color w:val="222222"/>
                <w:sz w:val="19"/>
              </w:rPr>
              <w:t>Member States may grant derogations from the first subparagraph to military, police and customs dogs.</w:t>
            </w:r>
          </w:p>
          <w:p>
            <w:pPr>
              <w:spacing w:after="0" w:before="140"/>
              <w:ind w:right="80" w:left="80" w:firstLine="0"/>
            </w:pPr>
            <w:r>
              <w:rPr>
                <w:rFonts w:ascii="Calibri" w:hAnsi="Calibri"/>
                <w:b w:val="0"/>
                <w:i w:val="0"/>
                <w:color w:val="222222"/>
                <w:sz w:val="19"/>
              </w:rPr>
              <w:t>6. In case of placing on the market or occasional and irregular donation by a natural person without online advertising, the requirements for registration shall not apply.</w:t>
            </w:r>
          </w:p>
          <w:p>
            <w:pPr>
              <w:spacing w:after="0" w:before="140"/>
              <w:ind w:right="80" w:left="80" w:firstLine="0"/>
            </w:pPr>
            <w:r>
              <w:rPr>
                <w:rFonts w:ascii="Calibri" w:hAnsi="Calibri"/>
                <w:b w:val="0"/>
                <w:i w:val="0"/>
                <w:color w:val="222222"/>
                <w:sz w:val="19"/>
              </w:rPr>
              <w:t>7. In the case of a death of a dog or a cat, the operator, pet owner or natural or legal person owning the dog or cat shall inform the national database.</w:t>
            </w:r>
          </w:p>
          <w:p>
            <w:pPr>
              <w:spacing w:after="0" w:before="140"/>
              <w:ind w:right="80" w:left="80" w:firstLine="0"/>
            </w:pPr>
            <w:r>
              <w:rPr>
                <w:rFonts w:ascii="Calibri" w:hAnsi="Calibri"/>
                <w:b w:val="0"/>
                <w:i w:val="0"/>
                <w:color w:val="222222"/>
                <w:sz w:val="19"/>
              </w:rPr>
              <w:t>8. In case of unreadable transponder, the operator or the natural or legal person responsible for the dog or cat shall ensure that the dog or cat is re-identified with a new transponder and re-registered in the national database.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@codigo fixa prazo de identificação entre 3 e 6 meses, igualmente sem distinção entre nascimentos e entrada em estabelecimentos, ficando aquém da precisão exigida pelo @regulamento.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O @rgbeac aproxima-se dos prazos do @regulamento mas aplica-se apenas a cães, gatos e furões. Não prevê o prazo específico de 30 dias para animais que entram em estabelecimentos.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When operators advertise online a dog or a cat with a view to its placing on the Union market, they shall ensure the display of the following warning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its health and welfare and not to abandon it."</w:t>
            </w:r>
          </w:p>
          <w:p>
            <w:pPr>
              <w:spacing w:after="0" w:before="140"/>
              <w:ind w:right="80" w:left="80" w:firstLine="0"/>
            </w:pPr>
            <w:r>
              <w:rPr>
                <w:rFonts w:ascii="Calibri" w:hAnsi="Calibri"/>
                <w:b w:val="0"/>
                <w:i w:val="0"/>
                <w:color w:val="222222"/>
                <w:sz w:val="19"/>
              </w:rPr>
              <w:t>2. When natural or legal persons other than operators advertise online a dog or a cat with a view to its placing on the Union market, they shall ensure the display of a warning on responsible ownership either using the wording referred to in the first sub-paragraph or a different wording with an equivalent meaning to it.</w:t>
            </w:r>
          </w:p>
          <w:p>
            <w:pPr>
              <w:spacing w:after="0" w:before="140"/>
              <w:ind w:right="80" w:left="80" w:firstLine="0"/>
            </w:pPr>
            <w:r>
              <w:rPr>
                <w:rFonts w:ascii="Calibri" w:hAnsi="Calibri"/>
                <w:b w:val="0"/>
                <w:i w:val="0"/>
                <w:color w:val="222222"/>
                <w:sz w:val="19"/>
              </w:rPr>
              <w:t>3. When placing a dog or a cat on the market in the Union, the natural or legal person placing the dog or cat on the market shall:</w:t>
            </w:r>
          </w:p>
          <w:p>
            <w:pPr>
              <w:spacing w:after="0" w:before="100"/>
              <w:ind w:right="80" w:left="360" w:hanging="280"/>
            </w:pPr>
            <w:r>
              <w:rPr>
                <w:rFonts w:ascii="Calibri" w:hAnsi="Calibri"/>
                <w:b w:val="0"/>
                <w:i w:val="0"/>
                <w:color w:val="222222"/>
                <w:sz w:val="19"/>
              </w:rPr>
              <w:t>a) provide to the acquirer proof of the identification and registration of dog or cat in compliance with Article 17;</w:t>
            </w:r>
          </w:p>
          <w:p>
            <w:pPr>
              <w:spacing w:after="0" w:before="100"/>
              <w:ind w:right="80" w:left="360" w:hanging="280"/>
            </w:pPr>
            <w:r>
              <w:rPr>
                <w:rFonts w:ascii="Calibri" w:hAnsi="Calibri"/>
                <w:b w:val="0"/>
                <w:i w:val="0"/>
                <w:color w:val="222222"/>
                <w:sz w:val="19"/>
              </w:rPr>
              <w:t>b) provide to the acquirer the following information on the dog or cat (species, sex, date and country of birth, breed);</w:t>
            </w:r>
          </w:p>
          <w:p>
            <w:pPr>
              <w:spacing w:after="0" w:before="100"/>
              <w:ind w:right="80" w:left="360" w:hanging="280"/>
            </w:pPr>
            <w:r>
              <w:rPr>
                <w:rFonts w:ascii="Calibri" w:hAnsi="Calibri"/>
                <w:b w:val="0"/>
                <w:i w:val="0"/>
                <w:color w:val="222222"/>
                <w:sz w:val="19"/>
              </w:rPr>
              <w:t>c) in case of online advertising, use the system referred to in paragraph 6 to generate a unique verification token.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Sistema de verificação online com token único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Proíbe venda online mas sem sistema de verificação online específico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restrições comerciais mas não implementa sistema de token de verificação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Proibição clara de publicidade e venda online, com requisitos de local licenciado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Professional training of dog and cat caretakers  ·  Art.º 18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9 the competent authorities shall be responsible for:</w:t>
            </w:r>
          </w:p>
          <w:p>
            <w:pPr>
              <w:spacing w:after="0" w:before="100"/>
              <w:ind w:right="80" w:left="360" w:hanging="280"/>
            </w:pPr>
            <w:r>
              <w:rPr>
                <w:rFonts w:ascii="Calibri" w:hAnsi="Calibri"/>
                <w:b w:val="0"/>
                <w:i w:val="0"/>
                <w:color w:val="222222"/>
                <w:sz w:val="19"/>
              </w:rPr>
              <w:t>a) ensuring that training courses are available for animal caretakers;</w:t>
            </w:r>
          </w:p>
          <w:p>
            <w:pPr>
              <w:spacing w:after="0" w:before="100"/>
              <w:ind w:right="80" w:left="360" w:hanging="280"/>
            </w:pPr>
            <w:r>
              <w:rPr>
                <w:rFonts w:ascii="Calibri" w:hAnsi="Calibri"/>
                <w:b w:val="0"/>
                <w:i w:val="0"/>
                <w:color w:val="222222"/>
                <w:sz w:val="19"/>
              </w:rPr>
              <w:t>b) approving the content of the training courses referred to in point (a), taking into account the minimum requirements laid down by the implementing acts referred to in Article 9(3);</w:t>
            </w:r>
          </w:p>
          <w:p>
            <w:pPr>
              <w:spacing w:after="0" w:before="140"/>
              <w:ind w:right="80" w:left="80" w:firstLine="0"/>
            </w:pPr>
            <w:r>
              <w:rPr>
                <w:rFonts w:ascii="Calibri" w:hAnsi="Calibri"/>
                <w:b w:val="0"/>
                <w:i w:val="0"/>
                <w:color w:val="222222"/>
                <w:sz w:val="19"/>
              </w:rPr>
              <w:t>ba) certifying the animal caretakers who successfully completed the training courses referred to in point (a).</w:t>
            </w:r>
          </w:p>
          <w:p>
            <w:pPr>
              <w:spacing w:after="0" w:before="140"/>
              <w:ind w:right="80" w:left="80" w:firstLine="0"/>
            </w:pPr>
            <w:r>
              <w:rPr>
                <w:rFonts w:ascii="Calibri" w:hAnsi="Calibri"/>
                <w:b w:val="0"/>
                <w:i w:val="0"/>
                <w:color w:val="222222"/>
                <w:sz w:val="19"/>
              </w:rPr>
              <w:t>2. The competent authorities may delegate the task referred to in point (ba).</w:t>
            </w:r>
          </w:p>
          <w:p>
            <w:pPr>
              <w:spacing w:after="0" w:before="140"/>
              <w:ind w:right="80" w:left="80" w:firstLine="0"/>
            </w:pPr>
            <w:r>
              <w:rPr>
                <w:rFonts w:ascii="Calibri" w:hAnsi="Calibri"/>
                <w:b w:val="0"/>
                <w:i w:val="0"/>
                <w:color w:val="222222"/>
                <w:sz w:val="19"/>
              </w:rPr>
              <w:t>3. A European Union Reference Centre for Animal Welfare designated in accordance with Article 95 of Regulation (EU) 2017/625 may develop models of training materials and recommendations for the providers of training courses referred to in paragraph 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(certificação profissional, provas teóricas e práticas, métodos positivos)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(profissionalismo, qualificações obrigatórias)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(Arts. 118-120 implementam sistema profissional com certificação)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 on dogs and cats  ·  Art.º 19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17(1) and (2) and Article 21(4) and the second subparagraph of Article 21(4a).</w:t>
            </w:r>
          </w:p>
          <w:p>
            <w:pPr>
              <w:spacing w:after="0" w:before="140"/>
              <w:ind w:right="80" w:left="80" w:firstLine="0"/>
            </w:pPr>
            <w:r>
              <w:rPr>
                <w:rFonts w:ascii="Calibri" w:hAnsi="Calibri"/>
                <w:b w:val="0"/>
                <w:i w:val="0"/>
                <w:color w:val="222222"/>
                <w:sz w:val="19"/>
              </w:rPr>
              <w:t>1a. For that purpose, the Member States may use databases maintained by another Member State, based on appropriate arrangements between those Member States.</w:t>
            </w:r>
          </w:p>
          <w:p>
            <w:pPr>
              <w:spacing w:after="0" w:before="140"/>
              <w:ind w:right="80" w:left="80" w:firstLine="0"/>
            </w:pPr>
            <w:r>
              <w:rPr>
                <w:rFonts w:ascii="Calibri" w:hAnsi="Calibri"/>
                <w:b w:val="0"/>
                <w:i w:val="0"/>
                <w:color w:val="222222"/>
                <w:sz w:val="19"/>
              </w:rPr>
              <w:t>2. Member States shall ensure that their databases as referred to in paragraph 1 comply with the requirements laid down by the implementing act referred to in point (b) of paragraph 3 to ensure their interoperability so that the identification of a dog or a cat can be authenticated and traced across the Union.</w:t>
            </w:r>
          </w:p>
          <w:p>
            <w:pPr>
              <w:spacing w:after="0" w:before="140"/>
              <w:ind w:right="80" w:left="80" w:firstLine="0"/>
            </w:pPr>
            <w:r>
              <w:rPr>
                <w:rFonts w:ascii="Calibri" w:hAnsi="Calibri"/>
                <w:b w:val="0"/>
                <w:i w:val="0"/>
                <w:color w:val="222222"/>
                <w:sz w:val="19"/>
              </w:rPr>
              <w:t>2a. The Commission shall establish and maintain an index database containing the minimum set of fields defined under article 19(3)(b). The Commission may entrust the development, maintenance and operation of this index database to an independent entity, following a public selection process.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SIAC em funcionamento desde 2019 cumpre todos os requisitos</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Código do Animal estabelece estrutura completa com classificações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RGBEAC (Art. 20.º) reafirma e fortalece o sistema SIAC</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set out in Annex III.</w:t>
            </w:r>
          </w:p>
          <w:p>
            <w:pPr>
              <w:spacing w:after="0" w:before="140"/>
              <w:ind w:right="80" w:left="80" w:firstLine="0"/>
            </w:pPr>
            <w:r>
              <w:rPr>
                <w:rFonts w:ascii="Calibri" w:hAnsi="Calibri"/>
                <w:b w:val="0"/>
                <w:i w:val="0"/>
                <w:color w:val="222222"/>
                <w:sz w:val="19"/>
              </w:rPr>
              <w:t>2. The competent authorities shall draw up and transmit to the Commission a report in electronic form, on the data set out in Annex III, by 31 August every 3 years starting from [6 years from the date of entry into force of this Regulation], summarising the data gathered for the previous 3 years.</w:t>
            </w:r>
          </w:p>
          <w:p>
            <w:pPr>
              <w:spacing w:after="0" w:before="140"/>
              <w:ind w:right="80" w:left="80" w:firstLine="0"/>
            </w:pPr>
            <w:r>
              <w:rPr>
                <w:rFonts w:ascii="Calibri" w:hAnsi="Calibri"/>
                <w:b w:val="0"/>
                <w:i w:val="0"/>
                <w:color w:val="222222"/>
                <w:sz w:val="19"/>
              </w:rPr>
              <w:t>3. The Commission may, by means of implementing acts, establish a harmonised methodology for collecting the data set out in Annex III and establish a template for the report referred to in paragraph 2 of this Article. Those implementing acts shall be adopted in accordance with the examination procedure referred to in Article 24.</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 - Ajuste de periodicidade e conformidade com Annex III EU</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(relatórios anuais, recolha de dados, consolidação nacional)</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(monitorização, infrações, sanções, estatísticas)</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Cobertura COMPLETA (Art. 46.º estabelece sistema de relatórios nacionais)</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competent authorities of the Member States shall be controllers within the meaning of Regulation (EU) 2016/679 in relation to the processing of personal data collected under Article 7, Article 7a of this Regulation as well as under Article 19(1)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17a (6), Article 19 (2a) and the third subparagraph of Article 21(4a) of this Regulation, as well as under Article 19(1) of this Regulation when used for the purposes of compliance with Article 108 of Regulation (EU) 2017/625 and of reporting obligations under this Regulation.</w:t>
            </w:r>
          </w:p>
          <w:p>
            <w:pPr>
              <w:spacing w:after="0" w:before="140"/>
              <w:ind w:right="80" w:left="80" w:firstLine="0"/>
            </w:pPr>
            <w:r>
              <w:rPr>
                <w:rFonts w:ascii="Calibri" w:hAnsi="Calibri"/>
                <w:b w:val="0"/>
                <w:i w:val="0"/>
                <w:color w:val="222222"/>
                <w:sz w:val="19"/>
              </w:rPr>
              <w:t>It shall be prohibited for any person having access to the personal data referred to in the first and second sub-paragraphs to divulge any personal data, the knowledge of which was acquired in the exercise of their duties or otherwise incidentally to such exercise.</w:t>
            </w:r>
          </w:p>
          <w:p>
            <w:pPr>
              <w:spacing w:after="0" w:before="140"/>
              <w:ind w:right="80" w:left="80" w:firstLine="0"/>
            </w:pPr>
            <w:r>
              <w:rPr>
                <w:rFonts w:ascii="Calibri" w:hAnsi="Calibri"/>
                <w:b w:val="0"/>
                <w:i w:val="0"/>
                <w:color w:val="222222"/>
                <w:sz w:val="19"/>
              </w:rPr>
              <w:t>Member States and the Commission shall take all appropriate measures to address infringements of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other purposes than:</w:t>
            </w:r>
          </w:p>
          <w:p>
            <w:pPr>
              <w:spacing w:after="0" w:before="100"/>
              <w:ind w:right="80" w:left="360" w:hanging="280"/>
            </w:pPr>
            <w:r>
              <w:rPr>
                <w:rFonts w:ascii="Calibri" w:hAnsi="Calibri"/>
                <w:b w:val="0"/>
                <w:i w:val="0"/>
                <w:color w:val="222222"/>
                <w:sz w:val="19"/>
              </w:rPr>
              <w:t>a) official controls by Member States competent authorities of the compliance with the welfare and traceability requirements under this regulation and compliance with Regulation (EU) 2016/429, including and detection of fraudulent practices, and</w:t>
            </w:r>
          </w:p>
          <w:p>
            <w:pPr>
              <w:spacing w:after="0" w:before="100"/>
              <w:ind w:right="80" w:left="360" w:hanging="280"/>
            </w:pPr>
            <w:r>
              <w:rPr>
                <w:rFonts w:ascii="Calibri" w:hAnsi="Calibri"/>
                <w:b w:val="0"/>
                <w:i w:val="0"/>
                <w:color w:val="222222"/>
                <w:sz w:val="19"/>
              </w:rPr>
              <w:t>b) compliance by the Commission of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 in the case of Article 7 and Article 7a, 10 years after the date of cessation of the activity of the establishment;</w:t>
            </w:r>
          </w:p>
          <w:p>
            <w:pPr>
              <w:spacing w:after="0" w:before="100"/>
              <w:ind w:right="80" w:left="360" w:hanging="280"/>
            </w:pPr>
            <w:r>
              <w:rPr>
                <w:rFonts w:ascii="Calibri" w:hAnsi="Calibri"/>
                <w:b w:val="0"/>
                <w:i w:val="0"/>
                <w:color w:val="222222"/>
                <w:sz w:val="19"/>
              </w:rPr>
              <w:t>b) in the case of Article 17a(6), 18 months after the generation of the token referred to in Article 17a(3)(c).</w:t>
            </w:r>
          </w:p>
          <w:p>
            <w:pPr>
              <w:spacing w:after="0" w:before="100"/>
              <w:ind w:right="80" w:left="360" w:hanging="280"/>
            </w:pPr>
            <w:r>
              <w:rPr>
                <w:rFonts w:ascii="Calibri" w:hAnsi="Calibri"/>
                <w:b w:val="0"/>
                <w:i w:val="0"/>
                <w:color w:val="222222"/>
                <w:sz w:val="19"/>
              </w:rPr>
              <w:t>c) in case of Article 19(1), and Article 19(2a), 25 years after the first registration of the dog or cat in the database referred to in that Article or 5 years after the recording of the death of the dog or cat in that database;</w:t>
            </w:r>
          </w:p>
          <w:p>
            <w:pPr>
              <w:spacing w:after="0" w:before="100"/>
              <w:ind w:right="80" w:left="360" w:hanging="280"/>
            </w:pPr>
            <w:r>
              <w:rPr>
                <w:rFonts w:ascii="Calibri" w:hAnsi="Calibri"/>
                <w:b w:val="0"/>
                <w:i w:val="0"/>
                <w:color w:val="222222"/>
                <w:sz w:val="19"/>
              </w:rPr>
              <w:t>d) in case of the third subparagraph of Article 21(4a),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Legislação portuguesa cobre completamente com incorporação de GDPR</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Cobertura expressa em Art. 55.º</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NÃO - Implementação completa em Arts. 20.º</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21.º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Dogs and cats may only be entered into the Union for placing on the Union market provided that the following conditions are met:</w:t>
            </w:r>
          </w:p>
          <w:p>
            <w:pPr>
              <w:spacing w:after="0" w:before="100"/>
              <w:ind w:right="80" w:left="360" w:hanging="280"/>
            </w:pPr>
            <w:r>
              <w:rPr>
                <w:rFonts w:ascii="Calibri" w:hAnsi="Calibri"/>
                <w:b w:val="0"/>
                <w:i w:val="0"/>
                <w:color w:val="222222"/>
                <w:sz w:val="19"/>
              </w:rPr>
              <w:t>a) they have been breed and kept in compliance with any of the following:</w:t>
            </w:r>
          </w:p>
          <w:p>
            <w:pPr>
              <w:spacing w:after="0" w:before="20"/>
              <w:ind w:right="80" w:left="360" w:hanging="280"/>
            </w:pPr>
            <w:r>
              <w:rPr>
                <w:rFonts w:ascii="Calibri" w:hAnsi="Calibri"/>
                <w:b w:val="0"/>
                <w:i w:val="0"/>
                <w:color w:val="222222"/>
                <w:sz w:val="19"/>
              </w:rPr>
              <w:t>i) Chapter II of this Regulation;</w:t>
            </w:r>
          </w:p>
          <w:p>
            <w:pPr>
              <w:spacing w:after="0" w:before="20"/>
              <w:ind w:right="80" w:left="80" w:firstLine="0"/>
            </w:pPr>
            <w:r>
              <w:rPr>
                <w:rFonts w:ascii="Calibri" w:hAnsi="Calibri"/>
                <w:b w:val="0"/>
                <w:i w:val="0"/>
                <w:color w:val="222222"/>
                <w:sz w:val="19"/>
              </w:rPr>
              <w:t>ii) conditions recognised by the Union in accordance with Article 129 of Regulation (EU) 2017/625 to be equivalent to those set out by Chapter II of this Regulation; or</w:t>
            </w:r>
          </w:p>
          <w:p>
            <w:pPr>
              <w:spacing w:after="0" w:before="20"/>
              <w:ind w:right="80" w:left="80" w:firstLine="0"/>
            </w:pPr>
            <w:r>
              <w:rPr>
                <w:rFonts w:ascii="Calibri" w:hAnsi="Calibri"/>
                <w:b w:val="0"/>
                <w:i w:val="0"/>
                <w:color w:val="222222"/>
                <w:sz w:val="19"/>
              </w:rPr>
              <w:t>iii) 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 they come from a third country or territory and an establishment listed in accordance with Articles 126 and 127 of Regulation (EU) 2017/625.</w:t>
            </w:r>
          </w:p>
          <w:p>
            <w:pPr>
              <w:spacing w:after="0" w:before="140"/>
              <w:ind w:right="80" w:left="80" w:firstLine="0"/>
            </w:pPr>
            <w:r>
              <w:rPr>
                <w:rFonts w:ascii="Calibri" w:hAnsi="Calibri"/>
                <w:b w:val="0"/>
                <w:i w:val="0"/>
                <w:color w:val="222222"/>
                <w:sz w:val="19"/>
              </w:rPr>
              <w:t>2. The official certificate referred to in Article 126(2)(c) of Regulation (EU) 2017/625 accompanying dogs and cats entering into the Union from third countries and territories to be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 Dogs and cats entering into the Union to be placed on the Union market shall be identified before their entry by a veterinarian by means of an injectable transponder containing a readable microchip compliant with Annex II.</w:t>
            </w:r>
          </w:p>
          <w:p>
            <w:pPr>
              <w:spacing w:after="0" w:before="140"/>
              <w:ind w:right="80" w:left="80" w:firstLine="0"/>
            </w:pPr>
            <w:r>
              <w:rPr>
                <w:rFonts w:ascii="Calibri" w:hAnsi="Calibri"/>
                <w:b w:val="0"/>
                <w:i w:val="0"/>
                <w:color w:val="222222"/>
                <w:sz w:val="19"/>
              </w:rPr>
              <w:t>4. The operator responsible for the import of dogs or cats entering into the Union shall ensure the registration of the dogs or cats by a veterinarian into a national database referred to in Article 19(1), within 5 working days after their entry into the Union.</w:t>
            </w:r>
          </w:p>
          <w:p>
            <w:pPr>
              <w:spacing w:after="0" w:before="140"/>
              <w:ind w:right="80" w:left="80" w:firstLine="0"/>
            </w:pPr>
            <w:r>
              <w:rPr>
                <w:rFonts w:ascii="Calibri" w:hAnsi="Calibri"/>
                <w:b w:val="0"/>
                <w:i w:val="0"/>
                <w:color w:val="222222"/>
                <w:sz w:val="19"/>
              </w:rPr>
              <w:t>[... ver regulamento completo para restantes parágrafos 4a e 5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entrada/importação mas sem database online de viajantes pré-notificação</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SIM - Implementa controlos sanitários e requisitos de identificação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Cobre entrada no território nacional com condições, não cobre movimento não-comercial pré-notificação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22.º do Regulamento 2023/0447  |  EN</w:t>
            </w:r>
          </w:p>
        </w:tc>
      </w:tr>
      <w:tr>
        <w:tc>
          <w:tcPr>
            <w:tcW w:type="dxa" w:w="15138"/>
            <w:shd w:val="clear" w:color="auto" w:fill="D6E4F0"/>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Commission is empowered to adopt delegated acts in accordance with Article 23 amending the Annexes to this Regulation to take into account of scientific and technical progress, including, when relevant, scientific opinions of the European Food Safety Authority, as regards:</w:t>
            </w:r>
          </w:p>
          <w:p>
            <w:pPr>
              <w:spacing w:after="0" w:before="100"/>
              <w:ind w:right="80" w:left="360" w:hanging="280"/>
            </w:pPr>
            <w:r>
              <w:rPr>
                <w:rFonts w:ascii="Calibri" w:hAnsi="Calibri"/>
                <w:b w:val="0"/>
                <w:i w:val="0"/>
                <w:color w:val="222222"/>
                <w:sz w:val="19"/>
              </w:rPr>
              <w:t>a) a suitable number of animal caretakers in breeding and selling establishments;</w:t>
            </w:r>
          </w:p>
          <w:p>
            <w:pPr>
              <w:spacing w:after="0" w:before="100"/>
              <w:ind w:right="80" w:left="360" w:hanging="280"/>
            </w:pPr>
            <w:r>
              <w:rPr>
                <w:rFonts w:ascii="Calibri" w:hAnsi="Calibri"/>
                <w:b w:val="0"/>
                <w:i w:val="0"/>
                <w:color w:val="222222"/>
                <w:sz w:val="19"/>
              </w:rPr>
              <w:t>b) watering and feeding requirements and weaning process;</w:t>
            </w:r>
          </w:p>
          <w:p>
            <w:pPr>
              <w:spacing w:after="0" w:before="100"/>
              <w:ind w:right="80" w:left="360" w:hanging="280"/>
            </w:pPr>
            <w:r>
              <w:rPr>
                <w:rFonts w:ascii="Calibri" w:hAnsi="Calibri"/>
                <w:b w:val="0"/>
                <w:i w:val="0"/>
                <w:color w:val="222222"/>
                <w:sz w:val="19"/>
              </w:rPr>
              <w:t>c) temperature ranges;</w:t>
            </w:r>
          </w:p>
          <w:p>
            <w:pPr>
              <w:spacing w:after="0" w:before="100"/>
              <w:ind w:right="80" w:left="360" w:hanging="280"/>
            </w:pPr>
            <w:r>
              <w:rPr>
                <w:rFonts w:ascii="Calibri" w:hAnsi="Calibri"/>
                <w:b w:val="0"/>
                <w:i w:val="0"/>
                <w:color w:val="222222"/>
                <w:sz w:val="19"/>
              </w:rPr>
              <w:t>d) lighting requirements;</w:t>
            </w:r>
          </w:p>
          <w:p>
            <w:pPr>
              <w:spacing w:after="0" w:before="100"/>
              <w:ind w:right="80" w:left="360" w:hanging="280"/>
            </w:pPr>
            <w:r>
              <w:rPr>
                <w:rFonts w:ascii="Calibri" w:hAnsi="Calibri"/>
                <w:b w:val="0"/>
                <w:i w:val="0"/>
                <w:color w:val="222222"/>
                <w:sz w:val="19"/>
              </w:rPr>
              <w:t>e) ammonia and carbon monoxide levels;</w:t>
            </w:r>
          </w:p>
          <w:p>
            <w:pPr>
              <w:spacing w:after="0" w:before="100"/>
              <w:ind w:right="80" w:left="360" w:hanging="280"/>
            </w:pPr>
            <w:r>
              <w:rPr>
                <w:rFonts w:ascii="Calibri" w:hAnsi="Calibri"/>
                <w:b w:val="0"/>
                <w:i w:val="0"/>
                <w:color w:val="222222"/>
                <w:sz w:val="19"/>
              </w:rPr>
              <w:t>f) kennel and cattery design;</w:t>
            </w:r>
          </w:p>
          <w:p>
            <w:pPr>
              <w:spacing w:after="0" w:before="100"/>
              <w:ind w:right="80" w:left="360" w:hanging="280"/>
            </w:pPr>
            <w:r>
              <w:rPr>
                <w:rFonts w:ascii="Calibri" w:hAnsi="Calibri"/>
                <w:b w:val="0"/>
                <w:i w:val="0"/>
                <w:color w:val="222222"/>
                <w:sz w:val="19"/>
              </w:rPr>
              <w:t>g) group housing;</w:t>
            </w:r>
          </w:p>
          <w:p>
            <w:pPr>
              <w:spacing w:after="0" w:before="100"/>
              <w:ind w:right="80" w:left="360" w:hanging="280"/>
            </w:pPr>
            <w:r>
              <w:rPr>
                <w:rFonts w:ascii="Calibri" w:hAnsi="Calibri"/>
                <w:b w:val="0"/>
                <w:i w:val="0"/>
                <w:color w:val="222222"/>
                <w:sz w:val="19"/>
              </w:rPr>
              <w:t>h) space allowances for different categories of dogs and cats;</w:t>
            </w:r>
          </w:p>
          <w:p>
            <w:pPr>
              <w:spacing w:after="0" w:before="100"/>
              <w:ind w:right="80" w:left="360" w:hanging="280"/>
            </w:pPr>
            <w:r>
              <w:rPr>
                <w:rFonts w:ascii="Calibri" w:hAnsi="Calibri"/>
                <w:b w:val="0"/>
                <w:i w:val="0"/>
                <w:color w:val="222222"/>
                <w:sz w:val="19"/>
              </w:rPr>
              <w:t>i) frequency of pregnancies;</w:t>
            </w:r>
          </w:p>
          <w:p>
            <w:pPr>
              <w:spacing w:after="0" w:before="100"/>
              <w:ind w:right="80" w:left="360" w:hanging="280"/>
            </w:pPr>
            <w:r>
              <w:rPr>
                <w:rFonts w:ascii="Calibri" w:hAnsi="Calibri"/>
                <w:b w:val="0"/>
                <w:i w:val="0"/>
                <w:color w:val="222222"/>
                <w:sz w:val="19"/>
              </w:rPr>
              <w:t>j) minimum and maximum age of bitches and queens for breeding;</w:t>
            </w:r>
          </w:p>
          <w:p>
            <w:pPr>
              <w:spacing w:after="0" w:before="100"/>
              <w:ind w:right="80" w:left="360" w:hanging="280"/>
            </w:pPr>
            <w:r>
              <w:rPr>
                <w:rFonts w:ascii="Calibri" w:hAnsi="Calibri"/>
                <w:b w:val="0"/>
                <w:i w:val="0"/>
                <w:color w:val="222222"/>
                <w:sz w:val="19"/>
              </w:rPr>
              <w:t>k) socialisation, enrichment and other measures for meeting behavioural needs of dogs and cats;</w:t>
            </w:r>
          </w:p>
          <w:p>
            <w:pPr>
              <w:spacing w:after="0" w:before="100"/>
              <w:ind w:right="80" w:left="360" w:hanging="280"/>
            </w:pPr>
            <w:r>
              <w:rPr>
                <w:rFonts w:ascii="Calibri" w:hAnsi="Calibri"/>
                <w:b w:val="0"/>
                <w:i w:val="0"/>
                <w:color w:val="222222"/>
                <w:sz w:val="19"/>
              </w:rPr>
              <w:t>l) requirements for transponders used to individually identify dogs and cats;</w:t>
            </w:r>
          </w:p>
          <w:p>
            <w:pPr>
              <w:spacing w:after="0" w:before="100"/>
              <w:ind w:right="80" w:left="360" w:hanging="280"/>
            </w:pPr>
            <w:r>
              <w:rPr>
                <w:rFonts w:ascii="Calibri" w:hAnsi="Calibri"/>
                <w:b w:val="0"/>
                <w:i w:val="0"/>
                <w:color w:val="222222"/>
                <w:sz w:val="19"/>
              </w:rPr>
              <w:t>m) data to be collected for policy monitoring and evaluation.</w:t>
            </w:r>
          </w:p>
          <w:p>
            <w:pPr>
              <w:spacing w:after="0" w:before="140"/>
              <w:ind w:right="80" w:left="80" w:firstLine="0"/>
            </w:pPr>
            <w:r>
              <w:rPr>
                <w:rFonts w:ascii="Calibri" w:hAnsi="Calibri"/>
                <w:b w:val="0"/>
                <w:i w:val="0"/>
                <w:color w:val="222222"/>
                <w:sz w:val="19"/>
              </w:rPr>
              <w:t>2. Any additions of requirements in the Annexes shall be based on updated scientific or technical evidence, in particular regarding the specific conditions needed to ensure the welfare of the dogs and cats covered by the scope of this Regulation. Where relevant, those delegated acts shall take into account social, economic and environmental impacts and provide for sufficient transition periods to allow for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006064"/>
            <w:tcBorders>
              <w:top w:val="single" w:sz="4" w:space="0" w:color="006064"/>
              <w:left w:val="single" w:sz="4" w:space="0" w:color="006064"/>
              <w:bottom w:val="single" w:sz="4" w:space="0" w:color="006064"/>
              <w:right w:val="single" w:sz="4" w:space="0" w:color="006064"/>
            </w:tcBorders>
          </w:tcPr>
          <w:p>
            <w:pPr>
              <w:spacing w:before="80" w:after="0"/>
              <w:ind w:left="120"/>
            </w:pPr>
            <w:r>
              <w:rPr>
                <w:rFonts w:ascii="Calibri" w:hAnsi="Calibri"/>
                <w:b/>
                <w:i w:val="0"/>
                <w:color w:val="FFFFFF"/>
                <w:sz w:val="17"/>
              </w:rPr>
              <w:t>@legislacao</w:t>
            </w:r>
          </w:p>
        </w:tc>
      </w:tr>
      <w:tr>
        <w:tc>
          <w:tcPr>
            <w:tcW w:type="dxa" w:w="15138"/>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Anexos existem; falta delegação de autoridade para alteração dinâmica</w:t>
            </w:r>
          </w:p>
        </w:tc>
      </w:tr>
      <w:tr>
        <w:tc>
          <w:tcPr>
            <w:tcW w:type="dxa" w:w="15138"/>
            <w:shd w:val="clear" w:color="auto" w:fill="7E4C00"/>
            <w:tcBorders>
              <w:top w:val="single" w:sz="4" w:space="0" w:color="7E4C00"/>
              <w:left w:val="single" w:sz="4" w:space="0" w:color="7E4C00"/>
              <w:bottom w:val="single" w:sz="4" w:space="0" w:color="7E4C00"/>
              <w:right w:val="single" w:sz="4" w:space="0" w:color="7E4C00"/>
            </w:tcBorders>
          </w:tcPr>
          <w:p>
            <w:pPr>
              <w:spacing w:before="80" w:after="0"/>
              <w:ind w:left="120"/>
            </w:pPr>
            <w:r>
              <w:rPr>
                <w:rFonts w:ascii="Calibri" w:hAnsi="Calibri"/>
                <w:b/>
                <w:i w:val="0"/>
                <w:color w:val="FFFFFF"/>
                <w:sz w:val="17"/>
              </w:rPr>
              <w:t>@codigo</w:t>
            </w:r>
          </w:p>
        </w:tc>
      </w:tr>
      <w:tr>
        <w:tc>
          <w:tcPr>
            <w:tcW w:type="dxa" w:w="15138"/>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Estrutura de anexos com parâmetros técnicos; falta delegação</w:t>
            </w:r>
          </w:p>
        </w:tc>
      </w:tr>
      <w:tr>
        <w:tc>
          <w:tcPr>
            <w:tcW w:type="dxa" w:w="15138"/>
            <w:shd w:val="clear" w:color="auto" w:fill="1E5631"/>
            <w:tcBorders>
              <w:top w:val="single" w:sz="4" w:space="0" w:color="1E5631"/>
              <w:left w:val="single" w:sz="4" w:space="0" w:color="1E5631"/>
              <w:bottom w:val="single" w:sz="4" w:space="0" w:color="1E5631"/>
              <w:right w:val="single" w:sz="4" w:space="0" w:color="1E5631"/>
            </w:tcBorders>
          </w:tcPr>
          <w:p>
            <w:pPr>
              <w:spacing w:before="80" w:after="0"/>
              <w:ind w:left="120"/>
            </w:pPr>
            <w:r>
              <w:rPr>
                <w:rFonts w:ascii="Calibri" w:hAnsi="Calibri"/>
                <w:b/>
                <w:i w:val="0"/>
                <w:color w:val="FFFFFF"/>
                <w:sz w:val="17"/>
              </w:rPr>
              <w:t>@rgbeac</w:t>
            </w:r>
          </w:p>
        </w:tc>
      </w:tr>
      <w:tr>
        <w:tc>
          <w:tcPr>
            <w:tcW w:type="dxa" w:w="15138"/>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PARCIAL - ANEXO estruturado; falta mecanismo de atos delegados/execução</w:t>
            </w:r>
          </w:p>
        </w:tc>
      </w:tr>
      <w:tr>
        <w:tc>
          <w:tcPr>
            <w:tcW w:type="dxa" w:w="15138"/>
            <w:shd w:val="clear" w:color="auto" w:fill="5D2A8A"/>
            <w:tcBorders>
              <w:top w:val="single" w:sz="4" w:space="0" w:color="5D2A8A"/>
              <w:left w:val="single" w:sz="4" w:space="0" w:color="5D2A8A"/>
              <w:bottom w:val="single" w:sz="4" w:space="0" w:color="5D2A8A"/>
              <w:right w:val="single" w:sz="4" w:space="0" w:color="5D2A8A"/>
            </w:tcBorders>
          </w:tcPr>
          <w:p>
            <w:pPr>
              <w:spacing w:before="80" w:after="0"/>
              <w:ind w:left="120"/>
            </w:pPr>
            <w:r>
              <w:rPr>
                <w:rFonts w:ascii="Calibri" w:hAnsi="Calibri"/>
                <w:b/>
                <w:i w:val="0"/>
                <w:color w:val="FFFFFF"/>
                <w:sz w:val="17"/>
              </w:rPr>
              <w:t>Sumário / Proposta</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120" w:right="12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