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55555"/>
          <w:sz w:val="19"/>
        </w:rPr>
        <w:t>DIREÇÃO-GERAL DE ALIMENTAÇÃO E VETERINÁRIA</w:t>
      </w:r>
    </w:p>
    <w:p>
      <w:pPr>
        <w:spacing w:after="200"/>
      </w:pPr>
      <w:r>
        <w:rPr>
          <w:b w:val="0"/>
          <w:color w:val="555555"/>
          <w:sz w:val="19"/>
        </w:rPr>
        <w:t>Direção de Serviços de Bem-Estar Animal</w:t>
      </w:r>
    </w:p>
    <w:p>
      <w:r>
        <w:rPr>
          <w:b/>
          <w:color w:val="1F3B63"/>
          <w:sz w:val="32"/>
        </w:rPr>
        <w:t>AVALIAÇÃO DAS NOTAS À PROPOSTA OMV / ANVETEM</w:t>
      </w:r>
    </w:p>
    <w:p>
      <w:pPr>
        <w:spacing w:after="200"/>
      </w:pPr>
      <w:r>
        <w:rPr>
          <w:b w:val="0"/>
          <w:color w:val="555555"/>
          <w:sz w:val="19"/>
        </w:rPr>
        <w:t>Ficheiro anotado «Proposta de Procedimento Integrado_DGAV_OMV_ANVETE_261013_001303.pdf» (notas manuscritas sobre a v3.0, de 26.8.2026). Documento de trabalho, 14.10.2026. Complementa a «Análise da proposta OMV/ANVETEM» da mesma data.</w:t>
      </w:r>
    </w:p>
    <w:p>
      <w:pPr>
        <w:keepNext/>
        <w:spacing w:before="280" w:after="120"/>
      </w:pPr>
      <w:r>
        <w:rPr>
          <w:b/>
          <w:color w:val="1F3B63"/>
          <w:sz w:val="27"/>
        </w:rPr>
        <w:t>1. Síntese</w:t>
      </w:r>
    </w:p>
    <w:p>
      <w:pPr>
        <w:spacing w:after="120"/>
      </w:pPr>
      <w:r>
        <w:rPr>
          <w:b w:val="0"/>
          <w:sz w:val="21"/>
        </w:rPr>
        <w:t>Foram transcritas 45 notas. 41 são válidas e 4 são válidas em parte; nenhuma é infundada. Quanto à análise de 14.10.2026: 10 já lá estavam, 19 estavam em parte e 16 são novas.</w:t>
      </w:r>
    </w:p>
    <w:p>
      <w:pPr>
        <w:spacing w:after="120"/>
      </w:pPr>
      <w:r>
        <w:rPr>
          <w:b w:val="0"/>
          <w:sz w:val="21"/>
        </w:rPr>
        <w:t>As notas novas mais importantes, por ordem de peso:</w:t>
      </w:r>
    </w:p>
    <w:p>
      <w:pPr>
        <w:pStyle w:val="ListBullet"/>
        <w:spacing w:after="60"/>
      </w:pPr>
      <w:r>
        <w:rPr>
          <w:b/>
        </w:rPr>
        <w:t xml:space="preserve">DL 315/2009: </w:t>
      </w:r>
      <w:r>
        <w:t>o DL 315/2009 tem regime próprio de recolha, apreensão, mandado e destino (cães que agridem, cães perigosos), e a análise não o tinha (nota 4);</w:t>
      </w:r>
    </w:p>
    <w:p>
      <w:pPr>
        <w:pStyle w:val="ListBullet"/>
        <w:spacing w:after="60"/>
      </w:pPr>
      <w:r>
        <w:rPr>
          <w:b/>
        </w:rPr>
        <w:t xml:space="preserve">OVPC: </w:t>
      </w:r>
      <w:r>
        <w:t>as organizações de voluntariado de proteção civil da LBPC e da Portaria 91/2017 são o canal legal para as associações no socorro, em vez de uma credenciação da DGAV (nota 15);</w:t>
      </w:r>
    </w:p>
    <w:p>
      <w:pPr>
        <w:pStyle w:val="ListBullet"/>
        <w:spacing w:after="60"/>
      </w:pPr>
      <w:r>
        <w:rPr>
          <w:b/>
        </w:rPr>
        <w:t xml:space="preserve">Terminologia: </w:t>
      </w:r>
      <w:r>
        <w:t>«resgate» não é termo legal; a lei diz «recolha», «captura», «apreensão» e «busca, salvamento e socorro» (notas 1, 10 e 13);</w:t>
      </w:r>
    </w:p>
    <w:p>
      <w:pPr>
        <w:pStyle w:val="ListBullet"/>
        <w:spacing w:after="60"/>
      </w:pPr>
      <w:r>
        <w:rPr>
          <w:b/>
        </w:rPr>
        <w:t xml:space="preserve">Âmbito do DL 276/2001: </w:t>
      </w:r>
      <w:r>
        <w:t>o DL 276/2001 exclui as espécies de pecuária, pelo que a remissão para a sua al. x) não serve as tipologias B e C (nota 21);</w:t>
      </w:r>
    </w:p>
    <w:p>
      <w:pPr>
        <w:pStyle w:val="ListBullet"/>
        <w:spacing w:after="60"/>
      </w:pPr>
      <w:r>
        <w:rPr>
          <w:b/>
        </w:rPr>
        <w:t xml:space="preserve">Socorro: </w:t>
      </w:r>
      <w:r>
        <w:t>mandado prévio e observação individual antes da saída não cabem no socorro (notas 20 e 30); a comunicação prévia e o relatório à comissão municipal não têm base na Lei 38/2026 (notas 19 e 42);</w:t>
      </w:r>
    </w:p>
    <w:p>
      <w:pPr>
        <w:pStyle w:val="ListBullet"/>
        <w:spacing w:after="60"/>
      </w:pPr>
      <w:r>
        <w:rPr>
          <w:b/>
        </w:rPr>
        <w:t xml:space="preserve">Outras: </w:t>
      </w:r>
      <w:r>
        <w:t>o médico veterinário contratado pelo município fica de fora (nota 26); o transporte de animais de companhia retirados não segue o regime do transportador autorizado (nota 38).</w:t>
      </w:r>
    </w:p>
    <w:p>
      <w:pPr>
        <w:keepNext/>
        <w:spacing w:before="280" w:after="120"/>
      </w:pPr>
      <w:r>
        <w:rPr>
          <w:b/>
          <w:color w:val="1F3B63"/>
          <w:sz w:val="27"/>
        </w:rPr>
        <w:t>2. O que as notas corrigem na análise de 14.10.2026</w:t>
      </w:r>
    </w:p>
    <w:p>
      <w:pPr>
        <w:pStyle w:val="ListBullet"/>
        <w:spacing w:after="60"/>
      </w:pPr>
      <w:r>
        <w:t>Omissão do DL 315/2009 no quadro das vias legais (4.2). Corrigido na análise: nova via V7.</w:t>
      </w:r>
    </w:p>
    <w:p>
      <w:pPr>
        <w:pStyle w:val="ListBullet"/>
        <w:spacing w:after="60"/>
      </w:pPr>
      <w:r>
        <w:t>Na via V5 (DL 314/2003), o destino dos animais recolhidos é decidido pelo MVM, após exame clínico, com permanência mínima de oito dias (DL 314/2003, art. 9.º, n.º 1). A análise dizia «regime do CRO». Corrigido.</w:t>
      </w:r>
    </w:p>
    <w:p>
      <w:pPr>
        <w:pStyle w:val="ListBullet"/>
        <w:spacing w:after="60"/>
      </w:pPr>
      <w:r>
        <w:t>O «retorno ao local de origem» que a análise criticou no projeto de RGAC (art. 139.º, n.º 8) já existe na lei vigente, no DL 315/2009, art. 39.º, n.º 8. E esse artigo já remete a apreensão para o RJCE (n.º 1), o que o RGAC deixa cair. A ficha S-02 do memorando do RGAC foi completada com isto.</w:t>
      </w:r>
    </w:p>
    <w:p>
      <w:pPr>
        <w:spacing w:after="120"/>
      </w:pPr>
      <w:r>
        <w:rPr>
          <w:b w:val="0"/>
          <w:sz w:val="21"/>
        </w:rPr>
        <w:t>As restantes notas novas (OVPC, terminologia, âmbito do DL 276/2001, socorro, veterinário contratado, transporte e as de menor peso) não foram integradas no texto da análise. Podem sê-lo numa versão 2, se for útil.</w:t>
      </w:r>
    </w:p>
    <w:p>
      <w:pPr>
        <w:keepNext/>
        <w:spacing w:before="280" w:after="120"/>
      </w:pPr>
      <w:r>
        <w:rPr>
          <w:b/>
          <w:color w:val="1F3B63"/>
          <w:sz w:val="27"/>
        </w:rPr>
        <w:t>3. Quadro das notas</w:t>
      </w:r>
    </w:p>
    <w:p>
      <w:pPr>
        <w:spacing w:after="120"/>
      </w:pPr>
      <w:r>
        <w:rPr>
          <w:b w:val="0"/>
          <w:color w:val="555555"/>
          <w:sz w:val="19"/>
        </w:rPr>
        <w:t>Colunas: «Válida?» (Sim, Em parte, Não); «Já na análise?» (Sim, Parcial, Não), com a secção da análise de 14.10.2026 indicada no fundamento. As leituras da caligrafia que ficaram incertas estão assinaladas.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474"/>
        <w:gridCol w:w="2948"/>
        <w:gridCol w:w="907"/>
        <w:gridCol w:w="1077"/>
        <w:gridCol w:w="7880"/>
      </w:tblGrid>
      <w:tr>
        <w:trPr>
          <w:tblHeader w:val="true"/>
        </w:trPr>
        <w:tc>
          <w:tcPr>
            <w:tcW w:type="dxa" w:w="510"/>
          </w:tcPr>
          <w:p>
            <w:r/>
            <w:r>
              <w:rPr>
                <w:b/>
                <w:color w:val="1F3B63"/>
                <w:sz w:val="18"/>
              </w:rPr>
              <w:t>N.º</w:t>
            </w:r>
          </w:p>
        </w:tc>
        <w:tc>
          <w:tcPr>
            <w:tcW w:type="dxa" w:w="1474"/>
          </w:tcPr>
          <w:p>
            <w:r/>
            <w:r>
              <w:rPr>
                <w:b/>
                <w:color w:val="1F3B63"/>
                <w:sz w:val="18"/>
              </w:rPr>
              <w:t>Página e ponto</w:t>
            </w:r>
          </w:p>
        </w:tc>
        <w:tc>
          <w:tcPr>
            <w:tcW w:type="dxa" w:w="2948"/>
          </w:tcPr>
          <w:p>
            <w:r/>
            <w:r>
              <w:rPr>
                <w:b/>
                <w:color w:val="1F3B63"/>
                <w:sz w:val="18"/>
              </w:rPr>
              <w:t>Nota (transcrição)</w:t>
            </w:r>
          </w:p>
        </w:tc>
        <w:tc>
          <w:tcPr>
            <w:tcW w:type="dxa" w:w="907"/>
          </w:tcPr>
          <w:p>
            <w:r/>
            <w:r>
              <w:rPr>
                <w:b/>
                <w:color w:val="1F3B63"/>
                <w:sz w:val="18"/>
              </w:rPr>
              <w:t>Válida?</w:t>
            </w:r>
          </w:p>
        </w:tc>
        <w:tc>
          <w:tcPr>
            <w:tcW w:type="dxa" w:w="1077"/>
          </w:tcPr>
          <w:p>
            <w:r/>
            <w:r>
              <w:rPr>
                <w:b/>
                <w:color w:val="1F3B63"/>
                <w:sz w:val="18"/>
              </w:rPr>
              <w:t>Já na análise?</w:t>
            </w:r>
          </w:p>
        </w:tc>
        <w:tc>
          <w:tcPr>
            <w:tcW w:type="dxa" w:w="7880"/>
          </w:tcPr>
          <w:p>
            <w:r/>
            <w:r>
              <w:rPr>
                <w:b/>
                <w:color w:val="1F3B63"/>
                <w:sz w:val="18"/>
              </w:rPr>
              <w:t>Verificação e fundamento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título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«Resgate?» (seta para «retirada e apreensão»)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«Resgate» não é termo legal em nenhum dos cenários. No cenário 1 a lei fala em «recolha ou captura» (DL 276/2001, art. 19.º, n.º 8; Lei 92/95, art. 1.º-A) e em «apreensão» (CPP, art. 178.º; RJCE, art. 49.º). No cenário 2 a Lei 38/2026 fala em «busca, salvamento e socorro». A própria proposta troca «salvamento» por «resgate» no ponto 9.1, ao citar a al. k) do art. 41.º da LBPC. Usar os termos legais.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título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«Situações de riscos higiossanitários ou ambientais» (seta para «risco para a saúde e o bem-estar animal»)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O âmbito da proposta omite fundamentos que a lei prevê: «Existência de riscos higiossanitários» e «proteção do meio ambiente» (DL 276/2001, art. 3.º-G, n.º 1, als. a) e d)); «ausência de riscos hígio-sanitários relativamente à conspurcação ambiental» (DL 314/2003, art. 3.º, n.º 1). A análise citou estas normas no quadro das vias, mas não apontou que faltam no âmbito (ponto 1.1).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título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«cenário 1» (maus-tratos ou risco) e «cenário 2» (socorro)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Coincide com a divisão em âmbito A e âmbito B da análise.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síntese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«314/2003? 315/2009?»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314: Sim. 315: 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O DL 314/2003 estava na análise (via V5). O DL 315/2009 não estava, e é uma omissão. Tem regime próprio de retirada: recolha obrigatória para CRO do animal que ofenda uma pessoa (art. 14.º, n.º 1); destino e eutanásia decididos pelo MVM (art. 15.º); mandado pedido «ao tribunal cível da respetiva comarca» para aceder e remover (art. 30.º, n.º 3); apreensão provisória «nos termos do RJCE», com fiel depositário e «retorno ao local de origem» (art. 39.º, n.ºs 1, 7 e 8); perda e privação do direito de detenção (art. 30.º-A).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princípio 1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Comando único: «qual?»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O princípio não diz qual autoridade. Na lei depende da via (análise, 4.4, a)).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princípio 3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Responsabilidade clínica: «qual?»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definição diz «inscrito na OMV, designado para a operação», sem dizer por quem. A análise criticou só a remissão para o art. 4.º do DL 276/2001 (3.3).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princípio 6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«registadas» (1) e «reconhecidas» (2)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Registadas onde: mera comunicação prévia do alojamento (DL 276/2001, art. 3.º-A) ou registo de associações da RCM 78/2021 (ato programático, junto do ICNF). Reconhecidas por quem: município, para a comissão municipal (LBPC, art. 41.º, al. k)), ou ANEPC, como OVPC (ver nota 15). Análise, 3.3 e 4.4, g).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tipologia A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«3.º G»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Para alojamentos registados, a base é o art. 3.º-G (suspensão e encerramento pelo diretor-geral; recolha pelas câmaras, n.º 6). A proposta só o cita na nota ao 5.1.1. A análise tinha-o na via V4, mas não apontou que falta na tipologia A.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1, tipologia A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«+ 314/2003» e «+ situações a rever»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DL 314/2003, art. 3.º, n.ºs 5 e 6 (análise, V5). «Situações a rever» é genérico (leitura da caligrafia a confirmar).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2, tipologia D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«Socorro vs. Resgate»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Ver nota 1.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3, ponto 1.1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Numeração 1 a 5 dos fundamentos (maus-tratos; risco para a saúde; bem-estar; saúde pública; socorro)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São cinco fundamentos com bases legais diferentes. A análise organizou-os por via legal (4.2) e pediu módulos separados (3.4).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12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3, ponto 1.5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«314/2003?» (recolha de errantes «regulada por legislação própria»)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legislação própria é o DL 314/2003 (art. 8.º, captura pelas câmaras; art. 9.º, destino decidido pelo MVM), com a Lei 27/2016 e a Portaria 146/2017. O DL 276/2001, art. 19.º, n.º 10, diz o mesmo para cães e gatos (análise, 4.4, n)).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13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3, definição de entidade coordenadora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«Socorro vs Resgate»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Terminologia: ver nota 1. Fundo: a Lei 38/2026 não define nenhuma entidade coordenadora; no socorro a responsabilidade é do COS (SIOPS, art. 9.º, n.º 1). A análise tratou o comando (5.4, a)), não a terminologia.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14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3, definição de responsável clínico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«com que meios?»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DGAV não tem meios clínicos próprios; o CAMV e a bolsa da OMV são voluntários e o P.A.R.A. está «em constituição». A análise tratou custos e carga da DGAV (4.4, k) e l)), não os meios clínicos.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15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3, definição de entidade participante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«OVPC? organizações voluntárias de PC»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Nota importante. A LBPC já tem a figura: «Organizações de voluntariado de proteção civil», com especial dever de cooperação (art. 46.º-A, n.º 1, al. h)). São reconhecidas por despacho do presidente da ANEPC, nos termos da Portaria 91/2017 (art. 5.º, n.º 1), que admite entidades com atividades «conexas» à proteção civil (art. 2.º, n.º 2). É este o canal legal para as associações no cenário 2, não uma credenciação da DGAV. A Portaria fala de «pessoas e bens» (art. 3.º, n.º 1, al. b)) e não foi atualizada depois da Lei 38/2026.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16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3, ponto 3.1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«planeamento prévio»: «por quem?»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Quem tem o título legal da operação (análise, 4.4, a)). No socorro, o planeamento é municipal (Lei 65/2007, art. 2.º, n.º 2, al. e)).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17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ponto 3.5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«mais alojamentos disponíveis para acolher animais de companhia, exemplo: Abrigos AZ ou Lar de Acolhimento»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lei vigente já o permite: depositários idóneos (CPP, art. 178.º, n.º 2); fiel depositário (RJCE, art. 49.º, n.º 3). O Regulamento (UE) 2026/1818 define abrigo e lar de acolhimento (art. 4.º, als. r) e s)) e o projeto de RGAC prevê a transmissão a associações e lares de acolhimento (art. 98.º, n.º 1). A análise falou de bolsa de entidades, sem nomear os lares.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18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ponto 4.2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Setores funcionais: «verificar se faz sentido estes elementos em ambos cenários»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No cenário 2 os setores são definidos pelo COS (SIOPS, arts. 10.º, n.º 1, al. p), e 14.º). No cenário 1 fazem sentido.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19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ponto 4.3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«Verificar se a lei da proteção civil e Lei 38/2026 permitem esta ordem de eventos»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Verificado: não preveem. A Lei 38/2026 só põe na comissão municipal a autoridade sanitária veterinária concelhia e as entidades reconhecidas (LBPC, art. 41.º, als. j) e k)). Não cria dever de comunicação prévia. A operação de socorro nasce no SIOPS, sob o COS, e não num documento da DGAV.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20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ponto 4.5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Mandado prévio: «Incompatível com operações de resgate?»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No socorro, exigir mandado antes de entrar é incompatível com a urgência. A entrada para salvar o animal justifica-se pelo perigo atual (direito de necessidade, CP, art. 34.º) e faz-se numa operação sob o COS. O mandado continua necessário no cenário 1 para entrar em casa de habitação (CRP, art. 34.º).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21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ponto 4.6 e fundamento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«276/2009 não se aplica a pecuária» (lido como 276/2001)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Confirmado: o DL 276/2001 exclui do seu âmbito «os touros de lide e as espécies de pecuária» (art. 1.º, n.º 2). A definição de entidade coordenadora remete para a al. x) do art. 2.º desse diploma, que por isso não serve as tipologias B e C. Reforça a separação por módulos (análise, 3.4).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22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fundamento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«protege a entidade coordenadora…»: «só a protege neste cenário?»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No cenário 2 a informação pública é do COS (SIOPS, art. 10.º, n.º 1, al. l)). Análise, 5.4, a).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23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ponto 5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«E o que significa convocação?»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O termo não tem sentido jurídico definido aqui. O DL 116/98 fala em «convocação extraordinária por motivo urgente» no programa de contactos com os serviços regionais (art. 4.º, n.º 3). Para as associações é um convite. Deve dizer-se o que é: pedido escrito, com base legal, ao MVM e ao presidente da câmara.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24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nota dos proponentes, 1.ª parte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«Confirmar» (DL 116/98 sem competências em bem-estar animal)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Em parte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Certo quanto aos poderes de autoridade sanitária, limitados à sanidade animal e à saúde pública (art. 2.º, n.º 3). Errado quanto ao dever de colaboração, que nomeia «saúde e bem-estar animal» (art. 3.º, n.º 1). Análise, 3.2.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25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4, nota dos proponentes, 2.ª parte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«Confirmar» (fundamento duplo; art. 3.º-G, n.º 6, e art. 19.º)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Em parte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As normas existem, mas atribuem competências às câmaras municipais, não ao MVM. O papel próprio do MVM está no art. 4.º, n.º 3 (CRO), no art. 19.º, n.º 9, e na al. x) do art. 2.º do DL 276/2001. Análise, 3.2.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26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5, ponto 5.1.4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«médico veterinário municipal em funções»: «exclui veterinário contratado»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Muitos municípios têm médico veterinário contratado e não MVM de carreira. Esse veterinário não tem os poderes de autoridade sanitária, que são conferidos «por inerência de cargo» (DL 116/98, art. 2.º, n.º 3), mas é quem gere o CRO. A proposta salta-o e vai para o MVM do concelho vizinho. O projeto de RGAC já usa «MVM ou médico-veterinário do município» (art. 91.º, n.º 8).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27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5, ponto 5.1.4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«só a DGAV? Verificar 116/98»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Em parte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Verificado: a designação do substituto cabe à «autoridade sanitária veterinária nacional» (DL 116/98, art. 2.º, n.º 5), hoje a DGAV. Dois reparos: a norma prevê a «ausência ou impedimento» do MVM, não a falta de MVM no município; e o recurso final ao médico veterinário da DSAVR não está no DL 116/98 (vale só para competências da própria DGAV).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28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5, ponto 5.2.2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Posto de triagem «com condições de biossegurança»: «e bem-estar»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Correção simples e certa: o posto de triagem é um alojamento temporário e deve cumprir condições de bem-estar (DL 276/2001, arts. 7.º e seguintes).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29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5, pontos 5.2.3 e 5.2.4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«Enfermagem vet.?»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observação clínica é ato do médico veterinário, mas a equipa deve contar com enfermeiros ou auxiliares veterinários para contenção, maneio e registo. A proposta só dimensiona médicos veterinários.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30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5, ponto 5.2.4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Observação individual antes da saída: «Incompatível com resgate de emergência?»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No socorro a prioridade é tirar o animal do perigo. A triagem faz-se na zona de concentração de acolhimento de animais, que a lei define para «acomodação, salvamento e triagem» (SIOPS, art. 13.º, al. d)). A análise disse que o modelo A não serve o B (5.4, d)), sem apontar este ponto.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31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5, ponto 6.1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«quando não está disponível?» e «só vets com CAMV?»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 (1.ª parte)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1.ª parte: «indelegável» sem regra de substituição; numa operação longa o responsável clínico tem de ser substituível. 2.ª parte (leitura a confirmar): a definição só exige inscrição na OMV; a assistência urgente (6.2) depende de CAMV e a rede P.A.R.A. está em constituição.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32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6, ponto 6.6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«Eutanásia?»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 (fora do foco)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«decisão fundamentada» do DL 142/2006 corresponde, na tabela da própria proposta, a «retirada e destruição» de animais de produção sem rastreabilidade, isto é, occisão. Não se aplica a animais de companhia. Texto do DL 142/2006 não conferido.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33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6, ponto 6.7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«destino de animais de companhia?»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O ponto só remete para o Regulamento (CE) n.º 1069/2009. Para animais de companhia falta dizer o destino do cadáver (o regulamento trata-os como subprodutos e admite exceções para animais de companhia; redação a conferir) e, havendo processo penal, a necropsia antes da eliminação (CPP, art. 159.º-A). A análise tratou a prova na eutanásia (4.4, f)).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34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6, ponto 7.1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«não pode ser este o único destino»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Além do CRO: depositário idóneo (CPP, art. 178.º, n.º 2), detentor como fiel depositário (RJCE, art. 49.º, n.º 3), outro destino escolhido pelo detentor (DL 314/2003, art. 3.º, n.º 5). Análise, 4.4, b) e d).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35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6, ponto 7.7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Sublinhado em «à entidade responsável»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entidade não é identificada. Análise, 4.4, k).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36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7, ponto 8.5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«Outra vez?»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Repete o princípio 5 e os pontos 8.1 a 8.4. A análise criticou a linguagem (4.4, h)), não a repetição.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37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7, ponto 8.8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«quem determina?»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O 8.8 fala em «exclusão» e remete para o 9.5, que fala em «suspensão» decidida pela DGAV. Dois termos para o mesmo efeito, e nada se diz quando a coordenadora não é a DGAV. A análise tratou a falta de base legal (4.4, g)).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38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7, ponto 9.1, transporte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«verificar que critérios se aplicam aos animais de companhia»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 autorização de transportador vem do DL 265/2007, que executa o Regulamento (CE) n.º 1/2005. Esse regulamento não se aplica ao transporte que não seja feito no âmbito de uma atividade económica (art. 1.º, n.º 5; redação a conferir), como o de animais retirados por autoridades ou associações. Para animais de companhia, o critério vigente é o do DL 276/2001, art. 10.º, n.º 1 (veículos e contentores apropriados à espécie e ao número).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39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7, ponto 9.2, seguro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«as entidades ficam com encargo adicional?»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Sim. O seguro dos voluntários já é obrigatório para as OVPC (Portaria 91/2017, art. 5.º, n.º 4, al. l)); o seguro de responsabilidade civil para resgate, maneio e transporte é custo novo, sem fonte de financiamento. A análise disse que os requisitos podem afastar capacidade (4.4, g)).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40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7, ponto 9.3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«atualizada anualmente! qual procedimento?»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Não há procedimento: quem pede, quem verifica, em que prazo, com que recurso. A análise tratou a base legal da lista (4.4, g)).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41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8, ponto 10.2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Relatório ao MVM e à câmara: «Porquê?»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Em parte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Há razão para os enviar (CRO, art. 3.º-G, n.º 6, encargos), mas não sempre nem por inteiro. Havendo processo penal, a distribuição tem de respeitar o segredo de justiça e a proteção de dados. Deve ser por necessidade.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42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8, ponto 10.2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Comissão municipal de proteção civil nas operações de socorro: «Verificar»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Verificado: a Lei 38/2026 não prevê relatórios à comissão municipal. No socorro, o relato segue a cadeia do SIOPS (COS e comando de emergência e proteção civil, art. 10.º, n.º 1, al. g)).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43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8, ponto 10.4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Avaliação anual só com OMV e ANVETEM: «só?»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Parcial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Faltam a ANMP, as forças de segurança, a ANEPC e as associações. A análise propôs protocolo com ANMP e forças de segurança (3.1), não a avaliação conjunta.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44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8, ponto 11.4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«Atualmente…»: «precisa atualização periódica pelo que o n.º 106 é irrelevante neste documento»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Um texto normativo não deve fixar números que mudam. A análise usou o número como dado (5.3), sem esta crítica.</w:t>
            </w:r>
          </w:p>
        </w:tc>
      </w:tr>
      <w:tr>
        <w:tc>
          <w:tcPr>
            <w:tcW w:type="dxa" w:w="51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45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p. 8, ponto 11.4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Comissão Técnica de Emergência, Catástrofe e Socorro Animal: «que comissão é esta?»</w:t>
            </w:r>
          </w:p>
        </w:tc>
        <w:tc>
          <w:tcPr>
            <w:tcW w:type="dxa" w:w="90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Sim</w:t>
            </w:r>
          </w:p>
        </w:tc>
        <w:tc>
          <w:tcPr>
            <w:tcW w:type="dxa" w:w="1077"/>
          </w:tcPr>
          <w:p>
            <w:pPr>
              <w:spacing w:after="20"/>
              <w:jc w:val="left"/>
            </w:pPr>
            <w:r/>
            <w:r>
              <w:rPr>
                <w:b/>
                <w:sz w:val="17"/>
              </w:rPr>
              <w:t>Não</w:t>
            </w:r>
          </w:p>
        </w:tc>
        <w:tc>
          <w:tcPr>
            <w:tcW w:type="dxa" w:w="7880"/>
          </w:tcPr>
          <w:p>
            <w:pPr>
              <w:spacing w:after="20"/>
              <w:jc w:val="left"/>
            </w:pPr>
            <w:r/>
            <w:r>
              <w:rPr>
                <w:sz w:val="17"/>
              </w:rPr>
              <w:t>É um órgão interno da OMV, sem estatuto legal no procedimento. Pedir mandato, composição e papel.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b/>
          <w:color w:val="1F3B63"/>
          <w:sz w:val="27"/>
        </w:rPr>
        <w:t>4. Fontes conferidas para esta avaliação</w:t>
      </w:r>
    </w:p>
    <w:p>
      <w:pPr>
        <w:pStyle w:val="ListBullet"/>
        <w:spacing w:after="60"/>
      </w:pPr>
      <w:r>
        <w:t>Lei de Bases da Proteção Civil, na republicação da Lei 80/2015, art. 46.º-A (DR, 1.ª série, n.º 149, de 3.8.2015).</w:t>
      </w:r>
    </w:p>
    <w:p>
      <w:pPr>
        <w:pStyle w:val="ListBullet"/>
        <w:spacing w:after="60"/>
      </w:pPr>
      <w:r>
        <w:t>Portaria 91/2017, de 2 de março (organizações de voluntariado de proteção civil), arts. 1.º a 5.º (DR, 1.ª série, n.º 44).</w:t>
      </w:r>
    </w:p>
    <w:p>
      <w:pPr>
        <w:pStyle w:val="ListBullet"/>
        <w:spacing w:after="60"/>
      </w:pPr>
      <w:r>
        <w:t>DL 315/2009, versão consolidada, arts. 14.º, 15.º, 30.º, 30.º-A e 39.º (pasta «Legislação vigente»).</w:t>
      </w:r>
    </w:p>
    <w:p>
      <w:pPr>
        <w:pStyle w:val="ListBullet"/>
        <w:spacing w:after="60"/>
      </w:pPr>
      <w:r>
        <w:t>DL 314/2003, versão consolidada, arts. 3.º, 8.º e 9.º (pasta «Legislação vigente»).</w:t>
      </w:r>
    </w:p>
    <w:p>
      <w:pPr>
        <w:pStyle w:val="ListBullet"/>
        <w:spacing w:after="60"/>
      </w:pPr>
      <w:r>
        <w:t>DL 276/2001, versão consolidada, arts. 1.º, 3.º-G e 10.º; DL 116/98, arts. 2.º a 4.º; Lei 38/2026; SIOPS (fontes já usadas na análise).</w:t>
      </w:r>
    </w:p>
    <w:p>
      <w:pPr>
        <w:pStyle w:val="ListBullet"/>
        <w:spacing w:after="60"/>
      </w:pPr>
      <w:r>
        <w:t>Não conferidos nesta sessão: Regulamento (CE) n.º 1/2005, art. 1.º, n.º 5, e Regulamento (CE) n.º 1069/2009 (EUR-Lex inacessível a partir do contentor); DL 142/2006, art. 23.º, n.º 7.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