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1.23</w:t>
            </w:r>
          </w:p>
        </w:tc>
      </w:tr>
      <w:tr>
        <w:tc>
          <w:tcPr>
            <w:tcW w:w="2551" w:type="dxa"/>
          </w:tcPr>
          <w:p>
            <w:pPr>
              <w:spacing w:after="60"/>
            </w:pPr>
            <w:r/>
            <w:r>
              <w:rPr>
                <w:b/>
                <w:sz w:val="20"/>
              </w:rPr>
              <w:t>Data</w:t>
            </w:r>
          </w:p>
        </w:tc>
        <w:tc>
          <w:tcPr>
            <w:tcW w:w="6520" w:type="dxa"/>
          </w:tcPr>
          <w:p>
            <w:pPr>
              <w:spacing w:after="60"/>
            </w:pPr>
            <w:r/>
            <w:r>
              <w:rPr>
                <w:b w:val="0"/>
                <w:sz w:val="20"/>
              </w:rPr>
              <w:t>14.10.2026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XV. Medidas administrativas, fiscalização e contraordenações</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48 fichas, das quais 44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3</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47</w:t>
            </w:r>
          </w:p>
        </w:tc>
        <w:tc>
          <w:tcPr>
            <w:tcW w:w="1701" w:type="dxa"/>
          </w:tcPr>
          <w:p>
            <w:pPr>
              <w:spacing w:after="60"/>
            </w:pPr>
            <w:r/>
            <w:r>
              <w:rPr>
                <w:b/>
                <w:sz w:val="20"/>
              </w:rPr>
              <w:t>106</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(21)</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(10)</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(3)</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(6)</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(4)</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1.23.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