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36"/>
        </w:rPr>
        <w:t>Análise dos Preâmbulos e Opiniões</w:t>
      </w:r>
    </w:p>
    <w:p>
      <w:pPr>
        <w:pStyle w:val="Title"/>
        <w:jc w:val="center"/>
      </w:pPr>
      <w:r>
        <w:rPr>
          <w:color w:val="1A1A2E"/>
          <w:sz w:val="36"/>
        </w:rPr>
        <w:t>Regulamento UE 2023/0447</w:t>
      </w:r>
    </w:p>
    <w:p/>
    <w:p>
      <w:pPr>
        <w:jc w:val="center"/>
      </w:pPr>
      <w:r>
        <w:rPr>
          <w:i/>
          <w:color w:val="646482"/>
          <w:sz w:val="22"/>
        </w:rPr>
        <w:t>Reflexão sobre o espírito legislativo, os temas recorrentes nas opiniões e a realidade portuguesa</w:t>
      </w:r>
    </w:p>
    <w:p>
      <w:pPr>
        <w:jc w:val="center"/>
      </w:pPr>
      <w:r>
        <w:rPr>
          <w:i/>
          <w:color w:val="646482"/>
          <w:sz w:val="22"/>
        </w:rPr>
        <w:t>Produzido em 18 de março de 2026</w:t>
      </w:r>
    </w:p>
    <w:p/>
    <w:p>
      <w:pPr>
        <w:jc w:val="center"/>
      </w:pPr>
      <w:r>
        <w:rPr>
          <w:i/>
          <w:color w:val="646482"/>
          <w:sz w:val="22"/>
        </w:rPr>
        <w:t>@regulamento · @codigo · @rgbeac · @opiniao (52 pareceres, 7 grupos) · Realidade PT</w:t>
      </w:r>
    </w:p>
    <w:p>
      <w:r>
        <w:br w:type="page"/>
      </w:r>
    </w:p>
    <w:p>
      <w:pPr>
        <w:pStyle w:val="Heading1"/>
      </w:pPr>
      <w:r>
        <w:rPr>
          <w:color w:val="0077B6"/>
        </w:rPr>
        <w:t>Secção 1 — Espírito legislativo do Regulamento Europeu 2023/0447</w:t>
      </w:r>
    </w:p>
    <w:p>
      <w:r>
        <w:rPr>
          <w:i/>
          <w:color w:val="646478"/>
          <w:sz w:val="21"/>
        </w:rPr>
        <w:t>Bem-estar de cães e gatos e sua rastreabilidade</w:t>
      </w:r>
    </w:p>
    <w:p>
      <w:pPr>
        <w:spacing w:after="160"/>
      </w:pPr>
      <w:r>
        <w:t>O Regulamento (UE) 2023/0447 é o primeiro instrumento legislativo da União Europeia</w:t>
        <w:br/>
        <w:t>especificamente dedicado a animais de companhia. A sua base legal dual — artigo 43.º, n.º 2</w:t>
        <w:br/>
        <w:t>(política agrícola comum) e artigo 114.º (mercado interno) do TFUE — não é acidental: revela que o</w:t>
        <w:br/>
        <w:t>legislador europeu entendeu que a regulação dos animais de companhia é simultaneamente uma questão</w:t>
        <w:br/>
        <w:t>de bem-estar animal e de harmonização do mercado interno.</w:t>
      </w:r>
    </w:p>
    <w:p>
      <w:pPr>
        <w:spacing w:after="160"/>
      </w:pPr>
      <w:r>
        <w:t>Os 109 considerandos do preâmbulo constroem uma narrativa em três atos. Primeiro, o</w:t>
        <w:br/>
        <w:t>reconhecimento filosófico: os animais são seres sencientes, capaz de sentir dor e</w:t>
        <w:br/>
        <w:t>sofrimento — reconhecimento já inscrito no artigo 13.º do TFUE e no Protocolo n.º 33 do Tratado de</w:t>
        <w:br/>
        <w:t>Amesterdão. Segundo, o diagnóstico dos problemas: a fragmentação normativa entre</w:t>
        <w:br/>
        <w:t>Estados-Membros cria distorções no mercado interno, facilita o comércio ilegal e perpetua condições</w:t>
        <w:br/>
        <w:t>de criação que geram sofrimento animal. Terceiro, a resposta normativa: um conjunto</w:t>
        <w:br/>
        <w:t>articulado de instrumentos destinados a garantir rastreabilidade, elevar os padrões mínimos de bem-estar</w:t>
        <w:br/>
        <w:t>e equiparar as condições de entrada de animais provenientes de países terceiros.</w:t>
      </w:r>
    </w:p>
    <w:p>
      <w:pPr>
        <w:spacing w:after="160"/>
      </w:pPr>
      <w:r>
        <w:t>O Regulamento diagnostica explicitamente o fenómeno dos puppy mills — explorações de</w:t>
        <w:br/>
        <w:t>criação comercial intensiva com recurso a práticas lesivas do bem-estar — como um dos problemas</w:t>
        <w:br/>
        <w:t>centrais a resolver. A rastreabilidade (microchip + base de dados interoperável entre todos os EM)</w:t>
        <w:br/>
        <w:t>é apresentada como o instrumento transversal que permite identificar a origem de cada animal,</w:t>
        <w:br/>
        <w:t>responsabilizar os criadores e detetar redes de tráfico ilegal.</w:t>
      </w:r>
    </w:p>
    <w:p>
      <w:pPr>
        <w:spacing w:after="160"/>
      </w:pPr>
      <w:r>
        <w:t>O espírito do Regulamento é, em síntese, harmonização ascendente: elevar todos os</w:t>
        <w:br/>
        <w:t>Estados-Membros ao nível dos que já possuem legislação mais exigente, eliminando a vantagem</w:t>
        <w:br/>
        <w:t>competitiva de quem produz em condições de menor bem-estar. A escolha do instrumento «regulamento»</w:t>
        <w:br/>
        <w:t>(de aplicação direta, sem necessidade de transposição) reforça esta intenção: não deixar margem para</w:t>
        <w:br/>
        <w:t>implementações fragmentadas ou diluídas a nível nacional.</w:t>
      </w:r>
    </w:p>
    <w:p>
      <w:pPr>
        <w:pStyle w:val="Heading2"/>
      </w:pPr>
      <w:r>
        <w:t>Objetivos e instrumentos do Regulamento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0077b6"/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4561"/>
            <w:shd w:fill="0077b6"/>
          </w:tcPr>
          <w:p>
            <w:r>
              <w:rPr>
                <w:b/>
                <w:color w:val="FFFFFF"/>
                <w:sz w:val="18"/>
              </w:rPr>
              <w:t>Instrumento / Mecanismo previsto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Combater o comércio ilegal de animais de companhia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Registo obrigatório antes de qualquer transação; base de dados interoperável entre EM; verificação de plataformas online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Garantir bem-estar mínimo na criação comercial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Limiar de ativação (3 cadelas / 2 ninhadas/ano); normas de alojamento; visitas veterinárias; formação de criadores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Eliminar práticas lesivas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Proibição de corte de orelhas e de cauda; proibição de coleiras elétricas; proibição de acorrentamento &gt;1 hora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Controlar a reprodução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Limite de ninhadas; idade mínima de reprodução; limitação de intervenções de inseminação artificial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Equiparar importações de países terceiros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Equivalência obrigatória dos standards de bem-estar para animais importados; registo antes da entrada no EM de destino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Regular o mercado digital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Obrigações para plataformas online de verificação do registo do animal e do operador antes de publicar anúncio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Gerir populações de gatos errantes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Reconhecimento dos programas de captura-esterilização-devolução (CED) como instrumento de gestão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Elevar a consciência pública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Promoção da educação e da adoção em detrimento da compra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E06C0A"/>
        </w:rPr>
        <w:t>Secção 2 — Espírito legislativo do @codigo — Código do Animal (DL 214/2013)</w:t>
      </w:r>
    </w:p>
    <w:p>
      <w:r>
        <w:rPr>
          <w:i/>
          <w:color w:val="646478"/>
          <w:sz w:val="21"/>
        </w:rPr>
        <w:t>Proposta de consolidação — perspetiva operacional e de controlo</w:t>
      </w:r>
    </w:p>
    <w:p>
      <w:pPr>
        <w:spacing w:after="160"/>
      </w:pPr>
      <w:r>
        <w:t>O preâmbulo do Código do Animal (DL n.º 214/2013), produzido em 2013, revela um espírito</w:t>
        <w:br/>
        <w:t>pragmático e administrativo, centrado no controlo das populações de animais de companhia</w:t>
        <w:br/>
        <w:t>e na prevenção do abandono, mais do que num discurso filosófico sobre bem-estar ou senciência.</w:t>
      </w:r>
    </w:p>
    <w:p>
      <w:pPr>
        <w:spacing w:after="160"/>
      </w:pPr>
      <w:r>
        <w:t>O problema central identificado é a criação não planeada e indiscriminada como</w:t>
        <w:br/>
        <w:t>causa do abandono: o excesso de animais gerados sem procura correspondente conduz inevitavelmente à</w:t>
        <w:br/>
        <w:t>negligência e ao abandono. A solução preconizada é fundamentalmente instrumental: a identificação</w:t>
        <w:br/>
        <w:t>eletrónica (microchip) é apresentada como o mecanismo de responsabilização do detentor, não como</w:t>
        <w:br/>
        <w:t>instrumento de bem-estar em si.</w:t>
      </w:r>
    </w:p>
    <w:p>
      <w:pPr>
        <w:spacing w:after="160"/>
      </w:pPr>
      <w:r>
        <w:t>O @codigo foi inovador para a sua época em dois aspetos: a consolidação normativa</w:t>
        <w:br/>
        <w:t>(reunir num diploma único todas as regras sobre reprodução, criação, detenção, maneiro e comércio) e</w:t>
        <w:br/>
        <w:t>o programa CED (captura, esterilização e devolução) para as colónias de gatos, que</w:t>
        <w:br/>
        <w:t>antecipou práticas hoje amplamente reconhecidas.</w:t>
      </w:r>
    </w:p>
    <w:p>
      <w:pPr>
        <w:spacing w:after="160"/>
      </w:pPr>
      <w:r>
        <w:t>O que está ausente no @codigo é revelador do salto qualitativo ocorrido na década</w:t>
        <w:br/>
        <w:t>seguinte: não há referência à senciência animal, ao valor intrínseco dos animais, às cinco liberdades</w:t>
        <w:br/>
        <w:t>WOAH, a critérios de bem-estar comportamental, nem a proibições de práticas aversivas. O @codigo é,</w:t>
        <w:br/>
        <w:t>na sua essência, um texto de gestão administrativa de populações animais.</w:t>
      </w:r>
    </w:p>
    <w:p>
      <w:pPr>
        <w:spacing w:after="160"/>
      </w:pPr>
      <w:r>
        <w:t>Confrontado com o Regulamento europeu, o @codigo surge como um instrumento de primeira geração:</w:t>
        <w:br/>
        <w:t>define quem pode ter animais e em que condições, mas não questiona o como se trata os</w:t>
        <w:br/>
        <w:t>animais nem o porquê de os proteger para além da utilidade humana.</w:t>
      </w:r>
    </w:p>
    <w:p>
      <w:pPr>
        <w:pStyle w:val="Heading2"/>
      </w:pPr>
      <w:r>
        <w:t>Comparação @codigo vs. Regulamento Europeu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e06c0a"/>
          </w:tcPr>
          <w:p>
            <w:r>
              <w:rPr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3041"/>
            <w:shd w:fill="e06c0a"/>
          </w:tcPr>
          <w:p>
            <w:r>
              <w:rPr>
                <w:b/>
                <w:color w:val="FFFFFF"/>
                <w:sz w:val="18"/>
              </w:rPr>
              <w:t>@codigo (DL 214/2013)</w:t>
            </w:r>
          </w:p>
        </w:tc>
        <w:tc>
          <w:tcPr>
            <w:tcW w:type="dxa" w:w="3041"/>
            <w:shd w:fill="e06c0a"/>
          </w:tcPr>
          <w:p>
            <w:r>
              <w:rPr>
                <w:b/>
                <w:color w:val="FFFFFF"/>
                <w:sz w:val="18"/>
              </w:rPr>
              <w:t>Regulamento 2023/0447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Fundamento filosófico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Prevenção do abandono; controlo das populações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Senciência animal; valor intrínseco; dignidade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Instrumento central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Identificação eletrónica (responsabilização do detentor)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Rastreabilidade + normas de bem-estar (dupla função)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Reprodução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Evitar criação não planeada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Limites quantitativos + condições mínimas + registo de criadores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Práticas lesivas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Não abordadas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Proibições explícitas (coleiras, corte, acorrentamento)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Animais errantes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Programa CED para gatos (inovador à época)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CED reconhecido + obrigações de registo de errantes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Venda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Incentivo à compra em locais autorizados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Proibição de venda em pet shops; plataformas online reguladas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Importações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Não abordadas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Equivalência obrigatória de standards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Natureza do instrumento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Consolidação operacional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Harmonização ascendente do mercado interno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A9D5C"/>
        </w:rPr>
        <w:t>Secção 3 — Espírito legislativo do @rgbeac — Regime Geral do Bem-Estar dos Animais de Companhia</w:t>
      </w:r>
    </w:p>
    <w:p>
      <w:r>
        <w:rPr>
          <w:i/>
          <w:color w:val="646478"/>
          <w:sz w:val="21"/>
        </w:rPr>
        <w:t>Proposta de junho de 2025 — convergência europeia com identidade nacional</w:t>
      </w:r>
    </w:p>
    <w:p>
      <w:pPr>
        <w:spacing w:after="160"/>
      </w:pPr>
      <w:r>
        <w:t>O preâmbulo do RGBEAC representa um salto qualitativo significativo relativamente ao</w:t>
        <w:br/>
        <w:t>@codigo. A diferença mais imediata é filosófica: o RGBEAC parte do reconhecimento expresso da</w:t>
        <w:br/>
        <w:t>senciência animal — já consagrada na Lei n.º 8/2017, de 3 de março — e do valor</w:t>
        <w:br/>
        <w:t>intrínseco dos animais, independente da sua utilidade para o ser humano.</w:t>
      </w:r>
    </w:p>
    <w:p>
      <w:pPr>
        <w:spacing w:after="160"/>
      </w:pPr>
      <w:r>
        <w:t>O RGBEAC inscreve-se numa tripla moldura conceptual: as cinco liberdades reconhecidas</w:t>
        <w:br/>
        <w:t>pela WOAH (Organização Mundial da Saúde Animal), os doze critérios de bem-estar do</w:t>
        <w:br/>
        <w:t>Projeto Welfare Quality (parceria europeia de investigação), e a evolução científica</w:t>
        <w:br/>
        <w:t>sobre comportamento animal e efeitos dos métodos aversivos de treino.</w:t>
      </w:r>
    </w:p>
    <w:p>
      <w:pPr>
        <w:spacing w:after="160"/>
      </w:pPr>
      <w:r>
        <w:t>A consolidação normativa — objetivo partilhado com o @codigo — é aqui acompanhada de uma reforma</w:t>
        <w:br/>
        <w:t>substantiva: o RGBEAC não se limita a reunir diplomas existentes, altera-os e melhora-os.</w:t>
        <w:br/>
        <w:t>As principais inovações incluem a Lista Nacional de Animais de Companhia (lista positiva de espécies),</w:t>
        <w:br/>
        <w:t>a proibição de coleiras elétricas (em linha com ~12 países europeus), a proibição de acorrentamento</w:t>
        <w:br/>
        <w:t>permanente (em linha com Alemanha, Países Baixos, Suécia, Áustria e Chipre), e a proibição de venda</w:t>
        <w:br/>
        <w:t>de cães, gatos e furões em lojas (em linha com 7 EM).</w:t>
      </w:r>
    </w:p>
    <w:p>
      <w:pPr>
        <w:spacing w:after="160"/>
      </w:pPr>
      <w:r>
        <w:t>O RGBEAC dá também especial atenção à fiscalização: estabelece um regime bicéfalo</w:t>
        <w:br/>
        <w:t>(estabelecimentos abertos ao público vs. propriedade privada), reforça os poderes da DGAV e eleva a</w:t>
        <w:br/>
        <w:t>moldura das coimas. A reforma do regime dos animais perigosos abandona a classificação por raça —</w:t>
        <w:br/>
        <w:t>demonstrada como cientificamente infundada — em favor de uma abordagem baseada no comportamento</w:t>
        <w:br/>
        <w:t>individual e nas condições de detenção.</w:t>
      </w:r>
    </w:p>
    <w:p>
      <w:pPr>
        <w:spacing w:after="160"/>
      </w:pPr>
      <w:r>
        <w:t>Em síntese, o RGBEAC é o texto que alinha Portugal com a vanguarda europeia em matéria</w:t>
        <w:br/>
        <w:t>de bem-estar de animais de companhia, mantendo instrumentos nacionais consolidados (SIAC, centros de</w:t>
        <w:br/>
        <w:t>bem-estar animal, associações zoófilas) e introduzindo o enquadramento filosófico e normativo necessário</w:t>
        <w:br/>
        <w:t>para receber e implementar o Regulamento europeu 2023/0447.</w:t>
      </w:r>
    </w:p>
    <w:p>
      <w:pPr>
        <w:pStyle w:val="Heading2"/>
      </w:pPr>
      <w:r>
        <w:t>Principais inovações do RGBEAC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2a9d5c"/>
          </w:tcPr>
          <w:p>
            <w:r>
              <w:rPr>
                <w:b/>
                <w:color w:val="FFFFFF"/>
                <w:sz w:val="18"/>
              </w:rPr>
              <w:t>Inovação</w:t>
            </w:r>
          </w:p>
        </w:tc>
        <w:tc>
          <w:tcPr>
            <w:tcW w:type="dxa" w:w="3041"/>
            <w:shd w:fill="2a9d5c"/>
          </w:tcPr>
          <w:p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3041"/>
            <w:shd w:fill="2a9d5c"/>
          </w:tcPr>
          <w:p>
            <w:r>
              <w:rPr>
                <w:b/>
                <w:color w:val="FFFFFF"/>
                <w:sz w:val="18"/>
              </w:rPr>
              <w:t>Países / Referências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Lista Nacional de Animais de Companhia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Lista positiva de espécies permitidas como animais de companhia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Bélgica, Países Baixos, Finlândia, França, Croácia, Chipre, Luxemburgo, Lituânia, Eslovénia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Proibição de coleiras elétricas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Proibição de uso e comercialização de mecanismos de estímulo negativo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Alemanha, Dinamarca, Áustria, Finlândia, Países Baixos, Suíça, Suécia, Inglaterra, França, Espanha, Bélgica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Proibição de acorrentamento permanente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Proibição de manter animais permanentemente acorrentados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Alemanha, Países Baixos, Suécia, Áustria, Chipre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Proibição de venda em lojas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Proibição de venda de cães, gatos e furões em pet shops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7 Estados-Membros da UE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Centros de 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Substituição dos centros de recolha oficial por centros com função educativa e de promoção do bem-estar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Boas práticas nacionais já existentes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Reforma do regime de animais perigosos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Abandono da classificação por raça; foco no comportamento e condições de detenção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Evidência científica consolidada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Sistema de Informação de Animais de Companhia (SIAC)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Extensão do registo obrigatório a todos os animais de companhia (não apenas cães e gatos)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Generalização do sistema existente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Métodos aversivos de treino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Proibição de uso de métodos aversivos; promoção do reforço positivo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ESVE, BVA, AFFVAC, AVA, NZVA, The Kennel Club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9B59B6"/>
        </w:rPr>
        <w:t>Secção 4 — Temas recorrentes nas opiniões (@opiniao)</w:t>
      </w:r>
    </w:p>
    <w:p>
      <w:r>
        <w:rPr>
          <w:i/>
          <w:color w:val="646478"/>
          <w:sz w:val="21"/>
        </w:rPr>
        <w:t>Análise de 18 pareceres de organizações europeias sobre o Regulamento 2023/0447</w:t>
      </w:r>
    </w:p>
    <w:p>
      <w:pPr>
        <w:spacing w:after="160"/>
      </w:pPr>
      <w:r>
        <w:t>Foram analisados 52 pareceres produzidos por organizações de 17 países europeus</w:t>
        <w:br/>
        <w:t>e internacionais sobre versões anteriores do Regulamento 2023/0447, agrupados em 7 categorias:</w:t>
        <w:br/>
        <w:t>organizações de bem-estar animal, veterinárias, kennel clubs e felinologia, caçadores e uso funcional,</w:t>
        <w:br/>
        <w:t>indústria e comércio, rastreabilidade e I&amp;R, e autoridades públicas. Embora algumas posições</w:t>
        <w:br/>
        <w:t>específicas possam já não se aplicar à versão final do Regulamento, os temas de fundo permanecem</w:t>
        <w:br/>
        <w:t>plenamente relevantes para a análise de impacto e implementação.</w:t>
      </w:r>
    </w:p>
    <w:p>
      <w:pPr>
        <w:spacing w:after="160"/>
      </w:pPr>
      <w:r>
        <w:t>Use o filtro abaixo para visualizar por grupo de organização.</w:t>
      </w:r>
    </w:p>
    <w:p>
      <w:pPr>
        <w:ind w:left="567"/>
      </w:pPr>
      <w:r>
        <w:rPr>
          <w:i/>
          <w:sz w:val="18"/>
        </w:rPr>
        <w:t>Nota metodológica: Os pareceres foram produzidos sobre versões anteriores do Regulamento. Algumas posições específicas podem já ter sido acolhidas ou ultrapassadas pela versão final. Os temas de fundo permanecem relevantes para a análise de implementação.</w:t>
      </w:r>
    </w:p>
    <w:p>
      <w:pPr>
        <w:pStyle w:val="Heading2"/>
      </w:pPr>
      <w:r>
        <w:t>Posições por organização e tema (síntese)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9b59b6"/>
          </w:tcPr>
          <w:p>
            <w:r>
              <w:rPr>
                <w:b/>
                <w:color w:val="FFFFFF"/>
                <w:sz w:val="18"/>
              </w:rPr>
              <w:t>Organização</w:t>
            </w:r>
          </w:p>
        </w:tc>
        <w:tc>
          <w:tcPr>
            <w:tcW w:type="dxa" w:w="3041"/>
            <w:shd w:fill="9b59b6"/>
          </w:tcPr>
          <w:p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3041"/>
            <w:shd w:fill="9b59b6"/>
          </w:tcPr>
          <w:p>
            <w:r>
              <w:rPr>
                <w:b/>
                <w:color w:val="FFFFFF"/>
                <w:sz w:val="18"/>
              </w:rPr>
              <w:t>Principais posições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── Bem-estar animal ──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Eurogroup for Animals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Contra; L2: Favor; L3: Favor; L4: Contra; L6: Favor; L7: Reforço; L8: Contra; L9: Reforço; L10: Reforço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LAV Onlus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Contra; L2: Favor; L4: Contra; L6: Favor; L7: Reforço; L8: Contra; L9: Reforço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AWI / Ecuavet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L6: Reforço; L8: Contra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AnimaNaturalis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L6: Reforço; L10: Reforço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VETO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L5: Contra; L6: Favor; L9: Reforço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SEY Animal Welfare Finland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L2: Contra; L4: Contra; L6: Favor; L9: Reforço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Norwegian Society for Protection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Derrogação; L6: Favor; L7: Reforço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Tierschutz-LASA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L5: Contra; L9: Reforço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EUCED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L6: Reforço; L9: Favor; L10: Reforço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Animal Protection Denmark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Contra; L2: Favor; L3: Reforço; L6: Favor; L7: Reforço; L8: Favor; L9: Reforço; L10: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Djurskyddet Sverige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Contra; L2: Favor; L3: Reforço; L4: Contra; L5: Reforço; L6: Favor; L7: Contra; L8: Contra; L9: Reforço; L10: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Finnish Centre for Animal Welfare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Reforço; L5: Reforço; L6: Favor; L7: Reforço; L8: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Dutch Assoc. Protection Animals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Contra; L5: Derrogação; L6: Favor; L7: Reforço; L10: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EU Dog &amp; Cat Alliance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Contra; L2: Favor; L6: Favor; L7: Reforço; L10: Reforço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Brigitte Bardot Foundation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Contra; L2: Favor; L3: Reforço; L4: Contra; L5: Reforço; L6: Favor; L7: Contra; L9: Reforço; L10: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PETA Deutschland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Derrogação; L2: Favor; L3: Favor; L4: Reforço; L5: Contra; L6: Favor; L7: Reforço; L8: Reforço; L9: Favor; L10: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NOAH – for dyrs rettigheter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Reforço; L2: Favor; L3: Reforço; L4: Reforço; L5: Derrogação; L6: Favor; L7: Reforço; L8: Favor; L9: Favor; L10: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SOS Galgos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Contra; L2: Favor; L3: Favor; L5: Contra; L6: Favor; L7: Contra; L8: Contra; L9: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FENPCA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Contra; L2: Favor; L3: Reforço; L5: Contra; L6: Reforço; L7: Reforço; L8: Reforço; L9: Reforço; L10: Reforço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LAU KATU ELKARTEA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Derrogação; L2: Reforço; L3: Reforço; L5: Derrogação; L6: Reforço; L7: Reforço; L9: Reforço; L10: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Asociación HAIEKIN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Derrogação; L2: Reforço; L3: Reforço; L5: Derrogação; L6: Reforço; L7: Reforço; L9: Reforço; L10: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APARIOJA (La Rioja)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Derrogação; L2: Reforço; L3: Reforço; L5: Derrogação; L6: Reforço; L7: Reforço; L9: Reforço; L10: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MIS AMIGAS LAS PALOMAS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Derrogação; L2: Favor; L3: Favor; L5: Contra; L6: Favor; L7: Reforço; L8: Reforço; L9: Favor; L10: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INTERcids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Bem-estar animal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── Veterinária ──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FVE (Fed. Veterinários EU)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Veterinária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Contra; L2: Favor; L3: Favor; L6: Favor; L7: Reforço; L9: Favor; L10: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WSAVA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Veterinária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Reforço; L3: Favor; L4: Contra; L6: Favor; L7: Reforço; L8: Contra; L9: Favor; L10: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Danish Veterinary Assoc.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Veterinária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Contra; L2: Favor; L3: Reforço; L6: Favor; L7: Reforço; L10: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Federal Chamber Vet. (BTK 🇩🇪)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Veterinária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Reforço; L6: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Norwegian Vet. Nurses Assoc.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Veterinária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L6: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Manteca / UAB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Veterinária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L3: Contra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UAB (Comportamento animal)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Veterinária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L3: Contra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VIRBAC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Veterinária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L3: Contra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── Kennel clubs e felinologia ──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Koninklijke Hondenbescherming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Kennel clubs e felinologia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L2: Contra; L6: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The Dutch Kennel Club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Kennel clubs e felinologia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Contra; L6: Favor; L7: Reforço; L10: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Norwegian Kennel Club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Kennel clubs e felinologia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Favor; L2: Favor; L3: Derrogação; L4: Derrogação; L5: Derrogação; L6: Favor; L7: Reforço; L8: Favor; L9: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Lithuanian Felinology (Bubaste)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Kennel clubs e felinologia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── Caçadores e uso funcional ──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FACE (Fed. Caçadores EU)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Caçadores e uso funcional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Derrogação; L4: Derrogação; L5: Derrogação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Féd. Nationale Chasseurs (FR)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Caçadores e uso funcional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Derrogação; L4: Derrogação; L5: Derrogação; L6: Derrogação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Real Fed. Española de Caza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Caçadores e uso funcional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Derrogação; L5: Favor; L8: Contra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── Indústria e comércio ──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FEDIAF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Indústria e comércio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MSD Animal Health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Indústria e comércio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L6: Reforço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AnimalhealthEurope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Indústria e comércio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Reforço; L2: Contra; L6: Favor; L7: Reforço; L10: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Electronic Collar Manufacturers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Indústria e comércio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L4: Contra; L5: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Assoc. Responsible Dog Owners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Indústria e comércio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L4: Derrogação; L5: Derrogação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Classifieds Marketplaces Europe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Indústria e comércio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L10: Derrogação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European Pet Organization (EPO)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Indústria e comércio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World Dog Alliance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Indústria e comércio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L6: Favor; L10: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── Rastreabilidade e I&amp;R ──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EuroPetNet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Rastreabilidade e I&amp;R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L6: Favor; L10: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K&amp;R Network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Rastreabilidade e I&amp;R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Contra; L6: Favor; L10: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TASSO e.V.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Rastreabilidade e I&amp;R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Contra; L6: Favor; L7: Reforço; L10: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── Autoridades públicas ──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Bundesministerium (🇩🇪)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Autoridades públicas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Reforço; L3: Favor; L6: Favor; L7: Reforço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Czech National Authority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Autoridades públicas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Contra; L2: Favor; L3: Reforço; L5: Reforço; L6: Favor; L7: Reforço; L8: Reforço; L10: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Norwegian Food Safety Auth.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Autoridades públicas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L1: Derrogação; L2: Favor; L3: Favor; L4: Reforço; L5: Derrogação; L6: Favor; L7: Reforço; L8: Reforço; L9: Favor; L10: Favor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Fundación Vet+i (🇪🇸)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Autoridades públicas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spacing w:after="160"/>
      </w:pPr>
      <w:r>
        <w:t>Da análise cruzada dos 52 pareceres, organizados em 7 grupos, emergem</w:t>
        <w:br/>
        <w:t>quatro eixos de tensão fundamentais:</w:t>
      </w:r>
    </w:p>
    <w:p>
      <w:pPr>
        <w:pStyle w:val="ListBullet"/>
      </w:pPr>
      <w:r>
        <w:t>• Consenso alargado em rastreabilidade: A rastreabilidade (identificação</w:t>
        <w:br/>
        <w:t xml:space="preserve">  eletrónica + base de dados interoperável) é o único tema com aprovação quase unânime — todas as</w:t>
        <w:br/>
        <w:t xml:space="preserve">  organizações de bem-estar, veterinárias, kennel clubs e autoridades públicas apoiam. Mesmo a</w:t>
        <w:br/>
        <w:t xml:space="preserve">  indústria e os caçadores não a contestam. O debate limita-se ao âmbito: se deve abranger</w:t>
        <w:br/>
        <w:t xml:space="preserve">  todos os cães e gatos (posição das ONG) ou apenas os transacionados comercialmente.</w:t>
      </w:r>
    </w:p>
    <w:p>
      <w:pPr>
        <w:pStyle w:val="ListBullet"/>
      </w:pPr>
      <w:r>
        <w:t>• Bem-estar vs. uso funcional: A divisão mais nítida opõe as organizações de</w:t>
        <w:br/>
        <w:t xml:space="preserve">  bem-estar (que querem normas universais, incluindo cães de caça) às federações de caçadores (que</w:t>
        <w:br/>
        <w:t xml:space="preserve">  defendem derrogações). FACE, FNC e Real Fed. Española de Caza rejeitam a aplicação do limiar Art. 4</w:t>
        <w:br/>
        <w:t xml:space="preserve">  à criação não comercial de cães de caça. Em sentido contrário, SOS Galgos e FENPCA documentam que</w:t>
        <w:br/>
        <w:t xml:space="preserve">  os cães de caça representam 70% dos abandonamentos em Espanha — argumento com relevância directa</w:t>
        <w:br/>
        <w:t xml:space="preserve">  para Portugal.</w:t>
      </w:r>
    </w:p>
    <w:p>
      <w:pPr>
        <w:pStyle w:val="ListBullet"/>
      </w:pPr>
      <w:r>
        <w:t>• Proibições vs. regulação: Coleiras elétricas, venda em pet shops e</w:t>
        <w:br/>
        <w:t xml:space="preserve">  acorrentamento dividem o campo: ONG e autoridades querem proibição total; a indústria</w:t>
        <w:br/>
        <w:t xml:space="preserve">  (Electronic Collar Manufacturers, ARDO) e parte dos kennel clubs propõem exceções e regulação.</w:t>
        <w:br/>
        <w:t xml:space="preserve">  Significativamente, mesmo o Norwegian Kennel Club — que genericamente apoia o Regulamento —</w:t>
        <w:br/>
        <w:t xml:space="preserve">  propõe uma derrogação limitada para uso em treino de cães de caça.</w:t>
      </w:r>
    </w:p>
    <w:p>
      <w:pPr>
        <w:pStyle w:val="ListBullet"/>
      </w:pPr>
      <w:r>
        <w:t>• Debate científico sobre castração: Manteca/UAB, VIRBAC e UAB Comportamento</w:t>
        <w:br/>
        <w:t xml:space="preserve">  questionam a castração cirúrgica como método-padrão, apontando efeitos adversos na saúde e</w:t>
        <w:br/>
        <w:t xml:space="preserve">  comportamento documentados em 35 raças. A Norwegian Food Safety Authority e a FVE continuam a</w:t>
        <w:br/>
        <w:t xml:space="preserve">  apoiar a castração como instrumento de controlo. Este debate tem implicações directas para as</w:t>
        <w:br/>
        <w:t xml:space="preserve">  políticas de esterilização municipais em Portugal (54,4% dos cães registados já esterilizados).</w:t>
      </w:r>
    </w:p>
    <w:p>
      <w:r>
        <w:br w:type="page"/>
      </w:r>
    </w:p>
    <w:p>
      <w:pPr>
        <w:pStyle w:val="Heading1"/>
      </w:pPr>
      <w:r>
        <w:rPr>
          <w:color w:val="E74C3C"/>
        </w:rPr>
        <w:t>Secção 5 — Questões polémicas e de difícil aplicação na realidade portuguesa</w:t>
      </w:r>
    </w:p>
    <w:p>
      <w:r>
        <w:rPr>
          <w:i/>
          <w:color w:val="646478"/>
          <w:sz w:val="21"/>
        </w:rPr>
        <w:t>Avaliação do impacto do Regulamento 2023/0447 em Portugal</w:t>
      </w:r>
    </w:p>
    <w:p>
      <w:pPr>
        <w:spacing w:after="160"/>
      </w:pPr>
      <w:r>
        <w:t>A implementação do Regulamento europeu em Portugal levanta questões específicas, decorrentes de</w:t>
        <w:br/>
        <w:t>características estruturais da realidade nacional: forte tradição cinegética, elevada taxa de animais</w:t>
        <w:br/>
        <w:t>errantes, compliance irregular com as obrigações de registo, e recursos limitados da autoridade</w:t>
        <w:br/>
        <w:t>competente (DGAV). A análise que se segue identifica os pontos de maior fricção normativa.</w:t>
      </w:r>
    </w:p>
    <w:p>
      <w:pPr>
        <w:pStyle w:val="Heading2"/>
      </w:pPr>
      <w:r>
        <w:t>Análise por tema</w:t>
      </w:r>
    </w:p>
    <w:p>
      <w:pPr>
        <w:pStyle w:val="Heading3"/>
      </w:pPr>
      <w:r>
        <w:rPr>
          <w:color w:val="B4321E"/>
        </w:rPr>
        <w:t>Limiar de ativação para criadores (Art. 4.º)</w:t>
      </w:r>
    </w:p>
    <w:p>
      <w:r>
        <w:t>Impacto em Portugal: 🔴 Alto</w:t>
      </w:r>
    </w:p>
    <w:p>
      <w:r>
        <w:t>O limiar de 3 cadelas / 2 ninhadas por ano captura proprietários de matilhas de caça sem atividade comercial. Em Portugal, a caça com cães (especialmente a caça maior e a caça de perdiz) é uma atividade cultural e económica significativa nas regiões do interior. A Portaria n.º 148/2016 já obriga ao registo das matilhas de caça maior, mas não estabelece limites de reprodução. A aplicação do Art. 4.º sem derrogação específica poderá criminalizar práticas legítimas.</w:t>
      </w:r>
    </w:p>
    <w:p>
      <w:r>
        <w:rPr>
          <w:i/>
          <w:sz w:val="20"/>
        </w:rPr>
        <w:t>Nota PT: Cultura cinegética consolidada; Portaria 148/2016 já regula matilhas mas sem limites reprodutivos</w:t>
      </w:r>
    </w:p>
    <w:p/>
    <w:p>
      <w:pPr>
        <w:pStyle w:val="Heading3"/>
      </w:pPr>
      <w:r>
        <w:rPr>
          <w:color w:val="B4321E"/>
        </w:rPr>
        <w:t>Coleiras elétricas (Art. 15.º) (Art. 15.º)</w:t>
      </w:r>
    </w:p>
    <w:p>
      <w:r>
        <w:t>Impacto em Portugal: 🟡 Médio</w:t>
      </w:r>
    </w:p>
    <w:p>
      <w:r>
        <w:t>O Regulamento proíbe o uso de coleiras elétricas. O RGBEAC também as proíbe, o que representa convergência. No entanto, em Portugal, o uso de coleiras elétricas em contexto de caça e pastoreio (incluindo cães de gado a guardar rebanhos de zonas de lobo) é uma prática estabelecida. As federações de caçadores europeias (FACE, FNC) defendem uma abordagem de regulação em vez de proibição total. A fiscalização desta proibição em zonas rurais remotas é um desafio adicional.</w:t>
      </w:r>
    </w:p>
    <w:p>
      <w:r>
        <w:rPr>
          <w:i/>
          <w:sz w:val="20"/>
        </w:rPr>
        <w:t>Nota PT: Uso estabelecido em contexto cinegético e pastoril; fiscalização difícil no interior</w:t>
      </w:r>
    </w:p>
    <w:p/>
    <w:p>
      <w:pPr>
        <w:pStyle w:val="Heading3"/>
      </w:pPr>
      <w:r>
        <w:rPr>
          <w:color w:val="B4321E"/>
        </w:rPr>
        <w:t>Acorrentamento permanente (Art. 14.º, §3) (Art. 14.º, §3)</w:t>
      </w:r>
    </w:p>
    <w:p>
      <w:r>
        <w:t>Impacto em Portugal: 🔴 Alto</w:t>
      </w:r>
    </w:p>
    <w:p>
      <w:r>
        <w:t>O Regulamento proíbe manter animais presos por mais de 1 hora. O RGBEAC proíbe o acorrentamento permanente. Em Portugal, o acorrentamento de cães — especialmente cães de guarda em propriedades rurais — é uma prática ainda comum, particularmente no interior do país. A OMV já identificou esta prática como fonte de sofrimento. A fiscalização em propriedade privada exige mandado judicial (no âmbito do RGBEAC), o que limita a capacidade de atuação das autoridades.</w:t>
      </w:r>
    </w:p>
    <w:p>
      <w:r>
        <w:rPr>
          <w:i/>
          <w:sz w:val="20"/>
        </w:rPr>
        <w:t>Nota PT: Prática corrente em zonas rurais; fiscalização em propriedade privada condicionada por mandado judicial</w:t>
      </w:r>
    </w:p>
    <w:p/>
    <w:p>
      <w:pPr>
        <w:pStyle w:val="Heading3"/>
      </w:pPr>
      <w:r>
        <w:rPr>
          <w:color w:val="B4321E"/>
        </w:rPr>
        <w:t>Identificação e registo universal (Art. 17.º) (Art. 17.º)</w:t>
      </w:r>
    </w:p>
    <w:p>
      <w:r>
        <w:t>Impacto em Portugal: 🔴 Alto</w:t>
      </w:r>
    </w:p>
    <w:p>
      <w:r>
        <w:t>Em outubro de 2023, estavam registados no SIAC cerca de 1,07 milhão de cães e 629 mil gatos. O total de cães registados em 2023 era de 2,58 milhões, mas o número real de cães em Portugal é provavelmente superior. O compliance com a identificação obrigatória é irregular, especialmente em zonas rurais e para gatos. O Regulamento exige registo antes de qualquer transação, e o RGBEAC estende a obrigação a todos os animais de companhia. O desafio é garantir o cumprimento efetivo, não apenas legislar a obrigação.</w:t>
      </w:r>
    </w:p>
    <w:p>
      <w:r>
        <w:rPr>
          <w:i/>
          <w:sz w:val="20"/>
        </w:rPr>
        <w:t>Nota PT: SIAC operacional mas com gaps de compliance; alargamento a todos os animais de companhia é desafio operacional significativo</w:t>
      </w:r>
    </w:p>
    <w:p/>
    <w:p>
      <w:pPr>
        <w:pStyle w:val="Heading3"/>
      </w:pPr>
      <w:r>
        <w:rPr>
          <w:color w:val="B4321E"/>
        </w:rPr>
        <w:t>Gestão de animais errantes (Art. 13.º e ss.)</w:t>
      </w:r>
    </w:p>
    <w:p>
      <w:r>
        <w:t>Impacto em Portugal: 🔴🔴 Muito alto</w:t>
      </w:r>
    </w:p>
    <w:p>
      <w:r>
        <w:t>O Censo Nacional de Animais Errantes (2023) identificou 930 mil animais errantes em Portugal Continental (831 mil gatos, 101 mil cães). Portugal abandonou o abate de animais errantes como método de controlo (Lei 27/2016), mas a capacidade dos centros de bem-estar animal é insuficiente para absorver este volume. O Regulamento reconhece os programas CED (captura-esterilização-devolução) para gatos, mas não resolve o problema estrutural de financiamento e capacidade dos centros. O abandono de 42 mil animais/ano (119/dia) agrava permanentemente a situação.</w:t>
      </w:r>
    </w:p>
    <w:p>
      <w:r>
        <w:rPr>
          <w:i/>
          <w:sz w:val="20"/>
        </w:rPr>
        <w:t>Nota PT: 930 mil errantes; 42 mil abandonos/ano; Lei 27/2016 proíbe abate mas recursos insuficientes para alternativa</w:t>
      </w:r>
    </w:p>
    <w:p/>
    <w:p>
      <w:pPr>
        <w:pStyle w:val="Heading3"/>
      </w:pPr>
      <w:r>
        <w:rPr>
          <w:color w:val="B4321E"/>
        </w:rPr>
        <w:t>Castração cirúrgica como política pública (Art. 9.º (reprodução))</w:t>
      </w:r>
    </w:p>
    <w:p>
      <w:r>
        <w:t>Impacto em Portugal: 🟡 Médio</w:t>
      </w:r>
    </w:p>
    <w:p>
      <w:r>
        <w:t>Portugal incentiva ativamente a esterilização cirúrgica — 54,4% dos cães registados no SIAC em 2023 estavam esterilizados. Esta política é defendida como instrumento de controlo do abandono. Contudo, vários pareceres científicos (Manteca/UAB, VIRBAC, UAB comportamental) alertam para efeitos adversos da castração cirúrgica precoce na saúde e comportamento dos animais. A existência de alternativas médicas (implantes de deslorelina, reversíveis) levanta a questão de se a política pública portuguesa está alinhada com a melhor evidência científica disponível.</w:t>
      </w:r>
    </w:p>
    <w:p>
      <w:r>
        <w:rPr>
          <w:i/>
          <w:sz w:val="20"/>
        </w:rPr>
        <w:t>Nota PT: 54,4% dos cães registados já esterilizados; debate científico emergente sobre efeitos adversos da castração precoce</w:t>
      </w:r>
    </w:p>
    <w:p/>
    <w:p>
      <w:pPr>
        <w:pStyle w:val="Heading3"/>
      </w:pPr>
      <w:r>
        <w:rPr>
          <w:color w:val="B4321E"/>
        </w:rPr>
        <w:t>Raças braquicefálicas (Art. 6.º, §3) (Art. 6.º, §3)</w:t>
      </w:r>
    </w:p>
    <w:p>
      <w:r>
        <w:t>Impacto em Portugal: 🟡 Médio</w:t>
      </w:r>
    </w:p>
    <w:p>
      <w:r>
        <w:t>O Regulamento exige que a criação de animais com características morfológicas problemáticas (braquicefálicos — bulldogs, pugs, shih tzus, etc.) minimize as consequências negativas para o bem-estar. Organizações como Eurogroup for Animals e LAV Onlus consideram esta formulação insuficiente e defendem a proibição total da criação de raças extremas. Em Portugal, estas raças têm mercado estabelecido e criadores activos. A norma exigirá definição técnica de «características problemáticas» e capacidade de fiscalização especializada.</w:t>
      </w:r>
    </w:p>
    <w:p>
      <w:r>
        <w:rPr>
          <w:i/>
          <w:sz w:val="20"/>
        </w:rPr>
        <w:t>Nota PT: Mercado de raças braquicefálicas estabelecido; formulação do Art. 6.º, §3 é vaga e de difícil execução</w:t>
      </w:r>
    </w:p>
    <w:p/>
    <w:p>
      <w:pPr>
        <w:pStyle w:val="Heading3"/>
      </w:pPr>
      <w:r>
        <w:rPr>
          <w:color w:val="B4321E"/>
        </w:rPr>
        <w:t>Venda e publicidade online (Art. 20.º) (Art. 20.º)</w:t>
      </w:r>
    </w:p>
    <w:p>
      <w:r>
        <w:t>Impacto em Portugal: 🔴 Alto</w:t>
      </w:r>
    </w:p>
    <w:p>
      <w:r>
        <w:t>O Regulamento impõe obrigações de verificação às plataformas online antes de publicar anúncios de venda de animais. Em Portugal, o comércio online e em redes sociais (Facebook Marketplace, OLX) de animais de companhia é um vetor significativo do tráfico ilegal e da criação irresponsável. A fiscalização efetiva de plataformas digitais — muitas delas com sede fora de Portugal — é um desafio regulatório complexo que exige cooperação entre a DGAV, a ANACOM e eventualmente autoridades de outros EM.</w:t>
      </w:r>
    </w:p>
    <w:p>
      <w:r>
        <w:rPr>
          <w:i/>
          <w:sz w:val="20"/>
        </w:rPr>
        <w:t>Nota PT: Comércio ilegal online relevante; coordenação entre DGAV, ANACOM e plataformas digitais é um desafio novo</w:t>
      </w:r>
    </w:p>
    <w:p/>
    <w:p>
      <w:pPr>
        <w:pStyle w:val="Heading3"/>
      </w:pPr>
      <w:r>
        <w:rPr>
          <w:color w:val="B4321E"/>
        </w:rPr>
        <w:t>Capacidade institucional da DGAV (Aplicação transversal)</w:t>
      </w:r>
    </w:p>
    <w:p>
      <w:r>
        <w:t>Impacto em Portugal: 🔴🔴 Muito alto</w:t>
      </w:r>
    </w:p>
    <w:p>
      <w:r>
        <w:t>A implementação do Regulamento exige um reforço significativo da DGAV em termos de recursos humanos, sistemas de informação e capacidade de fiscalização. A interoperabilidade da base de dados SIAC com os registos dos outros 26 EM é um requisito técnico exigente. O RGBEAC já reforça os poderes da DGAV, mas a capacidade efetiva de fiscalização — especialmente em zonas rurais — é uma preocupação transversal identificada por várias organizações (EUCED, OMV).</w:t>
      </w:r>
    </w:p>
    <w:p>
      <w:r>
        <w:rPr>
          <w:i/>
          <w:sz w:val="20"/>
        </w:rPr>
        <w:t>Nota PT: DGAV com recursos limitados; interoperabilidade SIAC com sistemas de outros EM é investimento técnico significativo</w:t>
      </w:r>
    </w:p>
    <w:p/>
    <w:p>
      <w:r>
        <w:br w:type="page"/>
      </w:r>
    </w:p>
    <w:p>
      <w:pPr>
        <w:pStyle w:val="Heading1"/>
      </w:pPr>
      <w:r>
        <w:rPr>
          <w:color w:val="2980B9"/>
        </w:rPr>
        <w:t>Secção 6 — Realidade portuguesa em dados</w:t>
      </w:r>
    </w:p>
    <w:p>
      <w:r>
        <w:rPr>
          <w:i/>
          <w:color w:val="646478"/>
          <w:sz w:val="21"/>
        </w:rPr>
        <w:t>Contexto estatístico e estrutural — animais de companhia em Portugal</w:t>
      </w:r>
    </w:p>
    <w:p>
      <w:pPr>
        <w:spacing w:after="160"/>
      </w:pPr>
      <w:r>
        <w:t>A análise do impacto do Regulamento europeu não pode prescindir de uma leitura objetiva da</w:t>
        <w:br/>
        <w:t>realidade portuguesa. Os dados disponíveis — provenientes do SIAC (Sistema de Informação de</w:t>
        <w:br/>
        <w:t>Animais de Companhia), do Censo Nacional de Animais Errantes (2023) e de publicações</w:t>
        <w:br/>
        <w:t>científicas — revelam um panorama com progressos significativos nas últimas décadas, mas com</w:t>
        <w:br/>
        <w:t>desafios estruturais que o Regulamento europeu e o RGBEAC procuram endereçar.</w:t>
      </w:r>
    </w:p>
    <w:p>
      <w:pPr>
        <w:pStyle w:val="Heading2"/>
      </w:pPr>
      <w:r>
        <w:t>Animais registados (SIAC, outubro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Cães registados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~1.075.467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Fonte: SIAC, outubro 2023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Gatos registados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~629.519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Fonte: SIAC, outubro 2023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Furões registados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~1.907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Fonte: SIAC, outubro 2023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Total cães registados (2023, todos os registos)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~2.581.870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Fonte: estudo ScienceDirect 2025 com base em dados SIAC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Cães esterilizados (% do total registado 2023)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54,4%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Fonte: estudo ScienceDirect 2025</w:t>
            </w:r>
          </w:p>
        </w:tc>
      </w:tr>
    </w:tbl>
    <w:p/>
    <w:p>
      <w:pPr>
        <w:pStyle w:val="Heading2"/>
      </w:pPr>
      <w:r>
        <w:t>Animais errantes (Censo ICNF / Univ. Aveiro,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Total de animais errantes em Portugal Continental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~930.000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Maior stock de sempre desde a abolição do abate (Lei 27/2016)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Gatos errantes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~830.541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82% da população de errantes são gatos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Cães errantes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~101.015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18% da população de errantes são cães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Animais recolhidos dos espaços públicos (2023)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45.148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Valor mais elevado dos últimos anos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Acidentes rodoviários com animais errantes (2019–2022)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4.640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4.443 cães + 197 gatos; fonte: dados públicos</w:t>
            </w:r>
          </w:p>
        </w:tc>
      </w:tr>
    </w:tbl>
    <w:p/>
    <w:p>
      <w:pPr>
        <w:pStyle w:val="Heading2"/>
      </w:pPr>
      <w:r>
        <w:t>Abandono (dados 2022)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Animais abandonados/recolhidos por ano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~42.000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Corresponde a 119 animais/dia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Animais adotados/reencaminhados por ano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~25.000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Melhor resultado registado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Animais eutanasiados por ano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~2.000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Apenas em casos de doença incurável ou agressividade grave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Animais que permanecem nos centros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~15.000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Causa cumulativa de sobrelotação dos centros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Crimes de abandono registados (2015–2019)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6.711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Pico em 2019 com 801 casos; fonte: estatísticas judiciais</w:t>
            </w:r>
          </w:p>
        </w:tc>
      </w:tr>
    </w:tbl>
    <w:p/>
    <w:p>
      <w:pPr>
        <w:pStyle w:val="Heading2"/>
      </w:pPr>
      <w:r>
        <w:t>Contexto comparativo europeu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041"/>
            <w:shd w:fill="2980b9"/>
          </w:tcPr>
          <w:p>
            <w:r>
              <w:rPr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EM que proíbem venda em mercados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Portugal ainda não se incluía neste grupo antes do RGBEAC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EM que proíbem venda em pet shops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Portugal proíbe com o RGBEAC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EM que proíbem coleiras elétricas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~12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Portugal proíbe com o RGBEAC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EM que proíbem acorrentamento permanente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5+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Portugal proíbe com o RGBEAC</w:t>
            </w:r>
          </w:p>
        </w:tc>
      </w:tr>
    </w:tbl>
    <w:p/>
    <w:p>
      <w:pPr>
        <w:spacing w:after="160"/>
      </w:pPr>
      <w:r>
        <w:t>Os dados revelam uma tensão estrutural: Portugal avançou significativamente na legislação protetora</w:t>
        <w:br/>
        <w:t>de animais (abolição do abate, Lei 8/2017, desenvolvimento do SIAC) mas enfrenta um paradoxo — o</w:t>
        <w:br/>
        <w:t>crescimento do stock de errantes é em parte consequência das políticas de proteção que proibem o</w:t>
        <w:br/>
        <w:t>abate sem que a capacidade alternativa (centros de bem-estar, esterilização, adoção) tenha crescido</w:t>
        <w:br/>
        <w:t>proporcionalmente.</w:t>
      </w:r>
    </w:p>
    <w:p>
      <w:pPr>
        <w:spacing w:after="160"/>
      </w:pPr>
      <w:r>
        <w:t>A chegada do Regulamento europeu a um país com estas características exige uma reflexão honesta:</w:t>
        <w:br/>
        <w:t>as normas de bem-estar e rastreabilidade são acolhidas com o RGBEAC e o SIAC, mas a efetividade da</w:t>
        <w:br/>
        <w:t>sua aplicação depende de investimento em capacidade institucional, infraestrutura de registos e</w:t>
        <w:br/>
        <w:t>cultura de compliance — especialmente fora das áreas metropolitanas.</w:t>
      </w:r>
    </w:p>
    <w:p>
      <w:r>
        <w:rPr>
          <w:i/>
          <w:color w:val="646464"/>
          <w:sz w:val="18"/>
        </w:rPr>
        <w:t>Fontes: SIAC; Censo Nacional de Animais Errantes 2023 (ICNF / Universidade de Aveiro); estudo ScienceDirect 2025; The Portugal News (out. 2023); Euroweekly News (out. 2023); OMV.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