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Análise técnica de suporte à pronúncia da Direção de Serviços de Bem-Estar Animal.</w:t>
      </w:r>
    </w:p>
    <w:p>
      <w:pPr>
        <w:spacing w:before="360" w:after="120"/>
      </w:pPr>
      <w:r>
        <w:rPr>
          <w:b/>
          <w:color w:val="1F3B63"/>
          <w:sz w:val="26"/>
        </w:rPr>
        <w:t>Temas em análise</w:t>
      </w:r>
    </w:p>
    <w:p>
      <w:pPr>
        <w:spacing w:after="120"/>
      </w:pPr>
      <w:r>
        <w:rPr>
          <w:b w:val="0"/>
          <w:i w:val="0"/>
          <w:sz w:val="21"/>
        </w:rPr>
        <w:t>A numeração é a dos temas analisados e não a do diploma.</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139"/>
          </w:tcPr>
          <w:p>
            <w:pPr>
              <w:spacing w:after="40"/>
            </w:pPr>
            <w:r/>
            <w:r>
              <w:rPr>
                <w:b/>
                <w:color w:val="1F3B63"/>
                <w:sz w:val="18"/>
              </w:rPr>
              <w:t>Tema</w:t>
            </w:r>
          </w:p>
        </w:tc>
        <w:tc>
          <w:tcPr>
            <w:tcW w:type="dxa" w:w="2948"/>
          </w:tcPr>
          <w:p>
            <w:pPr>
              <w:spacing w:after="40"/>
            </w:pPr>
            <w:r/>
            <w:r>
              <w:rPr>
                <w:b/>
                <w:color w:val="1F3B63"/>
                <w:sz w:val="18"/>
              </w:rPr>
              <w:t>Norma principal</w:t>
            </w:r>
          </w:p>
        </w:tc>
      </w:tr>
      <w:tr>
        <w:tc>
          <w:tcPr>
            <w:tcW w:type="dxa" w:w="567"/>
          </w:tcPr>
          <w:p>
            <w:pPr>
              <w:spacing w:after="40"/>
              <w:jc w:val="both"/>
            </w:pPr>
            <w:r/>
            <w:r>
              <w:rPr>
                <w:sz w:val="18"/>
              </w:rPr>
              <w:t>01</w:t>
            </w:r>
          </w:p>
        </w:tc>
        <w:tc>
          <w:tcPr>
            <w:tcW w:type="dxa" w:w="4139"/>
          </w:tcPr>
          <w:p>
            <w:pPr>
              <w:spacing w:after="40"/>
              <w:jc w:val="both"/>
            </w:pPr>
            <w:r/>
            <w:r>
              <w:rPr>
                <w:sz w:val="18"/>
              </w:rPr>
              <w:t>A DGAV no procedimento das lojas de venda de animais de companhia e a articulação com o regime dos animais de companhia e com a Lei da Saúde Animal</w:t>
            </w:r>
          </w:p>
        </w:tc>
        <w:tc>
          <w:tcPr>
            <w:tcW w:type="dxa" w:w="2948"/>
          </w:tcPr>
          <w:p>
            <w:pPr>
              <w:spacing w:after="40"/>
              <w:jc w:val="both"/>
            </w:pPr>
            <w:r/>
            <w:r>
              <w:rPr>
                <w:sz w:val="18"/>
              </w:rPr>
              <w:t>Art.º 16.º, n.º 4, e Anexo II; art.ºs 2.º e 36.º, n.º 3</w:t>
            </w:r>
          </w:p>
        </w:tc>
      </w:tr>
      <w:tr>
        <w:tc>
          <w:tcPr>
            <w:tcW w:type="dxa" w:w="567"/>
          </w:tcPr>
          <w:p>
            <w:pPr>
              <w:spacing w:after="40"/>
              <w:jc w:val="both"/>
            </w:pPr>
            <w:r/>
            <w:r>
              <w:rPr>
                <w:sz w:val="18"/>
              </w:rPr>
              <w:t>02</w:t>
            </w:r>
          </w:p>
        </w:tc>
        <w:tc>
          <w:tcPr>
            <w:tcW w:type="dxa" w:w="4139"/>
          </w:tcPr>
          <w:p>
            <w:pPr>
              <w:spacing w:after="40"/>
              <w:jc w:val="both"/>
            </w:pPr>
            <w:r/>
            <w:r>
              <w:rPr>
                <w:sz w:val="18"/>
              </w:rPr>
              <w:t>Animais de companhia na definição de atividade pecuária: qual a norma de bem-estar aplicável</w:t>
            </w:r>
          </w:p>
        </w:tc>
        <w:tc>
          <w:tcPr>
            <w:tcW w:type="dxa" w:w="2948"/>
          </w:tcPr>
          <w:p>
            <w:pPr>
              <w:spacing w:after="40"/>
              <w:jc w:val="both"/>
            </w:pPr>
            <w:r/>
            <w:r>
              <w:rPr>
                <w:sz w:val="18"/>
              </w:rPr>
              <w:t>Art.º 48.º, als. b) e c)</w:t>
            </w:r>
          </w:p>
        </w:tc>
      </w:tr>
      <w:tr>
        <w:tc>
          <w:tcPr>
            <w:tcW w:type="dxa" w:w="567"/>
          </w:tcPr>
          <w:p>
            <w:pPr>
              <w:spacing w:after="40"/>
              <w:jc w:val="both"/>
            </w:pPr>
            <w:r/>
            <w:r>
              <w:rPr>
                <w:sz w:val="18"/>
              </w:rPr>
              <w:t>03</w:t>
            </w:r>
          </w:p>
        </w:tc>
        <w:tc>
          <w:tcPr>
            <w:tcW w:type="dxa" w:w="4139"/>
          </w:tcPr>
          <w:p>
            <w:pPr>
              <w:spacing w:after="40"/>
              <w:jc w:val="both"/>
            </w:pPr>
            <w:r/>
            <w:r>
              <w:rPr>
                <w:sz w:val="18"/>
              </w:rPr>
              <w:t>Deferimento tácito em atividades com animais vivos</w:t>
            </w:r>
          </w:p>
        </w:tc>
        <w:tc>
          <w:tcPr>
            <w:tcW w:type="dxa" w:w="2948"/>
          </w:tcPr>
          <w:p>
            <w:pPr>
              <w:spacing w:after="40"/>
              <w:jc w:val="both"/>
            </w:pPr>
            <w:r/>
            <w:r>
              <w:rPr>
                <w:sz w:val="18"/>
              </w:rPr>
              <w:t>Art.º 25.º, n.º 3</w:t>
            </w:r>
          </w:p>
        </w:tc>
      </w:tr>
      <w:tr>
        <w:tc>
          <w:tcPr>
            <w:tcW w:type="dxa" w:w="567"/>
          </w:tcPr>
          <w:p>
            <w:pPr>
              <w:spacing w:after="40"/>
              <w:jc w:val="both"/>
            </w:pPr>
            <w:r/>
            <w:r>
              <w:rPr>
                <w:sz w:val="18"/>
              </w:rPr>
              <w:t>04</w:t>
            </w:r>
          </w:p>
        </w:tc>
        <w:tc>
          <w:tcPr>
            <w:tcW w:type="dxa" w:w="4139"/>
          </w:tcPr>
          <w:p>
            <w:pPr>
              <w:spacing w:after="40"/>
              <w:jc w:val="both"/>
            </w:pPr>
            <w:r/>
            <w:r>
              <w:rPr>
                <w:sz w:val="18"/>
              </w:rPr>
              <w:t>Animais errantes e articulação com os centros de recolha oficial</w:t>
            </w:r>
          </w:p>
        </w:tc>
        <w:tc>
          <w:tcPr>
            <w:tcW w:type="dxa" w:w="2948"/>
          </w:tcPr>
          <w:p>
            <w:pPr>
              <w:spacing w:after="40"/>
              <w:jc w:val="both"/>
            </w:pPr>
            <w:r/>
            <w:r>
              <w:rPr>
                <w:sz w:val="18"/>
              </w:rPr>
              <w:t>Art.ºs 57.º e 59.º</w:t>
            </w:r>
          </w:p>
        </w:tc>
      </w:tr>
      <w:tr>
        <w:tc>
          <w:tcPr>
            <w:tcW w:type="dxa" w:w="567"/>
          </w:tcPr>
          <w:p>
            <w:pPr>
              <w:spacing w:after="40"/>
              <w:jc w:val="both"/>
            </w:pPr>
            <w:r/>
            <w:r>
              <w:rPr>
                <w:sz w:val="18"/>
              </w:rPr>
              <w:t>05</w:t>
            </w:r>
          </w:p>
        </w:tc>
        <w:tc>
          <w:tcPr>
            <w:tcW w:type="dxa" w:w="4139"/>
          </w:tcPr>
          <w:p>
            <w:pPr>
              <w:spacing w:after="40"/>
              <w:jc w:val="both"/>
            </w:pPr>
            <w:r/>
            <w:r>
              <w:rPr>
                <w:sz w:val="18"/>
              </w:rPr>
              <w:t>Acesso de animais de companhia a estabelecimentos</w:t>
            </w:r>
          </w:p>
        </w:tc>
        <w:tc>
          <w:tcPr>
            <w:tcW w:type="dxa" w:w="2948"/>
          </w:tcPr>
          <w:p>
            <w:pPr>
              <w:spacing w:after="40"/>
              <w:jc w:val="both"/>
            </w:pPr>
            <w:r/>
            <w:r>
              <w:rPr>
                <w:sz w:val="18"/>
              </w:rPr>
              <w:t>Art.º 38.º</w:t>
            </w:r>
          </w:p>
        </w:tc>
      </w:tr>
    </w:tbl>
    <w:p>
      <w:pPr>
        <w:spacing w:after="80"/>
      </w:pP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Efeito sobre a aprovação sanitária de estabelecimentos</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Ponto 04 — Animais errantes e articulação com os centros de recolha oficial</w:t>
      </w:r>
    </w:p>
    <w:p>
      <w:pPr>
        <w:spacing w:before="240" w:after="80"/>
      </w:pPr>
      <w:r>
        <w:rPr>
          <w:b/>
          <w:color w:val="1F3B63"/>
          <w:sz w:val="22"/>
        </w:rPr>
        <w:t>4.1. O regime vigente dos centros de recolha oficial</w:t>
      </w:r>
    </w:p>
    <w:p>
      <w:pPr>
        <w:spacing w:after="120"/>
      </w:pPr>
      <w:r>
        <w:rPr>
          <w:b w:val="0"/>
          <w:i w:val="0"/>
          <w:sz w:val="21"/>
        </w:rPr>
        <w:t>O centro de recolha oficial é, juridicamente, um alojamento de animais de companhia. A al. t) do n.º 1 do art.º 2.º do Decreto-Lei n.º 276/2001 define «centro de recolha» como «qualquer alojamento oficial onde um animal é hospedado por um período determinado pela autoridade competente, nomeadamente os canis e os gatis municipais», e a al. a) do n.º 1 do art.º 3.º do mesmo diploma inclui expressamente os centros de recolha entre as atividades dependentes de mera comunicação prévia à DGAV. É, por isso, um estabelecimento registado na DGAV, com médico-veterinário responsável e sujeito às normas do seu Capítulo III.</w:t>
      </w:r>
    </w:p>
    <w:p>
      <w:pPr>
        <w:spacing w:after="120"/>
      </w:pPr>
      <w:r>
        <w:rPr>
          <w:b w:val="0"/>
          <w:i w:val="0"/>
          <w:sz w:val="21"/>
        </w:rPr>
        <w:t>A obrigação de o manter está no art.º 11.º do Decreto-Lei n.º 314/2003: as câmaras municipais, isoladamente ou em associação, «são obrigadas a possuir e manter instalações destinadas a canis e gatis, de acordo com as necessidades da zona», com pelo menos duas celas semicirculares para isolamento e quarentena de suspeitos de raiva, podendo celebrar protocolos com municípios vizinhos, e com a direção a cargo do médico-veterinário municipal. A rede resulta do n.º 4 do art.º 2.º da Lei n.º 27/2016.</w:t>
      </w:r>
    </w:p>
    <w:p>
      <w:pPr>
        <w:spacing w:before="240" w:after="80"/>
      </w:pPr>
      <w:r>
        <w:rPr>
          <w:b/>
          <w:color w:val="1F3B63"/>
          <w:sz w:val="22"/>
        </w:rPr>
        <w:t>4.2. Funções e prazos</w:t>
      </w:r>
    </w:p>
    <w:tbl>
      <w:tblPr>
        <w:tblStyle w:val="TableGrid"/>
        <w:tblW w:type="auto" w:w="0"/>
        <w:jc w:val="center"/>
        <w:tblLook w:firstColumn="1" w:firstRow="1" w:lastColumn="0" w:lastRow="0" w:noHBand="0" w:noVBand="1" w:val="04A0"/>
      </w:tblPr>
      <w:tblGrid>
        <w:gridCol w:w="3135"/>
        <w:gridCol w:w="3135"/>
        <w:gridCol w:w="3135"/>
      </w:tblGrid>
      <w:tr>
        <w:tc>
          <w:tcPr>
            <w:tcW w:type="dxa" w:w="1928"/>
          </w:tcPr>
          <w:p>
            <w:pPr>
              <w:spacing w:after="40"/>
            </w:pPr>
            <w:r/>
            <w:r>
              <w:rPr>
                <w:b/>
                <w:color w:val="1F3B63"/>
                <w:sz w:val="18"/>
              </w:rPr>
              <w:t>Função</w:t>
            </w:r>
          </w:p>
        </w:tc>
        <w:tc>
          <w:tcPr>
            <w:tcW w:type="dxa" w:w="2835"/>
          </w:tcPr>
          <w:p>
            <w:pPr>
              <w:spacing w:after="40"/>
            </w:pPr>
            <w:r/>
            <w:r>
              <w:rPr>
                <w:b/>
                <w:color w:val="1F3B63"/>
                <w:sz w:val="18"/>
              </w:rPr>
              <w:t>Norma</w:t>
            </w:r>
          </w:p>
        </w:tc>
        <w:tc>
          <w:tcPr>
            <w:tcW w:type="dxa" w:w="4025"/>
          </w:tcPr>
          <w:p>
            <w:pPr>
              <w:spacing w:after="40"/>
            </w:pPr>
            <w:r/>
            <w:r>
              <w:rPr>
                <w:b/>
                <w:color w:val="1F3B63"/>
                <w:sz w:val="18"/>
              </w:rPr>
              <w:t>Elemento relevante</w:t>
            </w:r>
          </w:p>
        </w:tc>
      </w:tr>
      <w:tr>
        <w:tc>
          <w:tcPr>
            <w:tcW w:type="dxa" w:w="1928"/>
          </w:tcPr>
          <w:p>
            <w:pPr>
              <w:spacing w:after="40"/>
              <w:jc w:val="both"/>
            </w:pPr>
            <w:r/>
            <w:r>
              <w:rPr>
                <w:sz w:val="18"/>
              </w:rPr>
              <w:t>Captura e recolha</w:t>
            </w:r>
          </w:p>
        </w:tc>
        <w:tc>
          <w:tcPr>
            <w:tcW w:type="dxa" w:w="2835"/>
          </w:tcPr>
          <w:p>
            <w:pPr>
              <w:spacing w:after="40"/>
              <w:jc w:val="both"/>
            </w:pPr>
            <w:r/>
            <w:r>
              <w:rPr>
                <w:sz w:val="18"/>
              </w:rPr>
              <w:t>Art.º 19.º do DL 276/2001 e art.º 8.º do DL 314/2003</w:t>
            </w:r>
          </w:p>
        </w:tc>
        <w:tc>
          <w:tcPr>
            <w:tcW w:type="dxa" w:w="4025"/>
          </w:tcPr>
          <w:p>
            <w:pPr>
              <w:spacing w:after="40"/>
              <w:jc w:val="both"/>
            </w:pPr>
            <w:r/>
            <w:r>
              <w:rPr>
                <w:sz w:val="18"/>
              </w:rPr>
              <w:t>Competência das câmaras municipais; os animais são recolhidos ao canil ou gatil municipal</w:t>
            </w:r>
          </w:p>
        </w:tc>
      </w:tr>
      <w:tr>
        <w:tc>
          <w:tcPr>
            <w:tcW w:type="dxa" w:w="1928"/>
          </w:tcPr>
          <w:p>
            <w:pPr>
              <w:spacing w:after="40"/>
              <w:jc w:val="both"/>
            </w:pPr>
            <w:r/>
            <w:r>
              <w:rPr>
                <w:sz w:val="18"/>
              </w:rPr>
              <w:t>Exame clínico e destino</w:t>
            </w:r>
          </w:p>
        </w:tc>
        <w:tc>
          <w:tcPr>
            <w:tcW w:type="dxa" w:w="2835"/>
          </w:tcPr>
          <w:p>
            <w:pPr>
              <w:spacing w:after="40"/>
              <w:jc w:val="both"/>
            </w:pPr>
            <w:r/>
            <w:r>
              <w:rPr>
                <w:sz w:val="18"/>
              </w:rPr>
              <w:t>Art.º 9.º, n.º 1, do DL 314/2003</w:t>
            </w:r>
          </w:p>
        </w:tc>
        <w:tc>
          <w:tcPr>
            <w:tcW w:type="dxa" w:w="4025"/>
          </w:tcPr>
          <w:p>
            <w:pPr>
              <w:spacing w:after="40"/>
              <w:jc w:val="both"/>
            </w:pPr>
            <w:r/>
            <w:r>
              <w:rPr>
                <w:sz w:val="18"/>
              </w:rPr>
              <w:t>Exame pelo médico-veterinário municipal, que decide o destino; permanência mínima de oito dias</w:t>
            </w:r>
          </w:p>
        </w:tc>
      </w:tr>
      <w:tr>
        <w:tc>
          <w:tcPr>
            <w:tcW w:type="dxa" w:w="1928"/>
          </w:tcPr>
          <w:p>
            <w:pPr>
              <w:spacing w:after="40"/>
              <w:jc w:val="both"/>
            </w:pPr>
            <w:r/>
            <w:r>
              <w:rPr>
                <w:sz w:val="18"/>
              </w:rPr>
              <w:t>Presunção de abandono</w:t>
            </w:r>
          </w:p>
        </w:tc>
        <w:tc>
          <w:tcPr>
            <w:tcW w:type="dxa" w:w="2835"/>
          </w:tcPr>
          <w:p>
            <w:pPr>
              <w:spacing w:after="40"/>
              <w:jc w:val="both"/>
            </w:pPr>
            <w:r/>
            <w:r>
              <w:rPr>
                <w:sz w:val="18"/>
              </w:rPr>
              <w:t>Art.º 3.º, n.º 1, da Lei n.º 27/2016</w:t>
            </w:r>
          </w:p>
        </w:tc>
        <w:tc>
          <w:tcPr>
            <w:tcW w:type="dxa" w:w="4025"/>
          </w:tcPr>
          <w:p>
            <w:pPr>
              <w:spacing w:after="40"/>
              <w:jc w:val="both"/>
            </w:pPr>
            <w:r/>
            <w:r>
              <w:rPr>
                <w:sz w:val="18"/>
              </w:rPr>
              <w:t>Decorridos quinze dias sobre a recolha sem reclamação, presumem-se abandonados e são obrigatoriamente esterilizados e encaminhados para adoção</w:t>
            </w:r>
          </w:p>
        </w:tc>
      </w:tr>
      <w:tr>
        <w:tc>
          <w:tcPr>
            <w:tcW w:type="dxa" w:w="1928"/>
          </w:tcPr>
          <w:p>
            <w:pPr>
              <w:spacing w:after="40"/>
              <w:jc w:val="both"/>
            </w:pPr>
            <w:r/>
            <w:r>
              <w:rPr>
                <w:sz w:val="18"/>
              </w:rPr>
              <w:t>Esterilização e CED</w:t>
            </w:r>
          </w:p>
        </w:tc>
        <w:tc>
          <w:tcPr>
            <w:tcW w:type="dxa" w:w="2835"/>
          </w:tcPr>
          <w:p>
            <w:pPr>
              <w:spacing w:after="40"/>
              <w:jc w:val="both"/>
            </w:pPr>
            <w:r/>
            <w:r>
              <w:rPr>
                <w:sz w:val="18"/>
              </w:rPr>
              <w:t>Art.º 4.º da Lei n.º 27/2016 e Portaria n.º 146/2017</w:t>
            </w:r>
          </w:p>
        </w:tc>
        <w:tc>
          <w:tcPr>
            <w:tcW w:type="dxa" w:w="4025"/>
          </w:tcPr>
          <w:p>
            <w:pPr>
              <w:spacing w:after="40"/>
              <w:jc w:val="both"/>
            </w:pPr>
            <w:r/>
            <w:r>
              <w:rPr>
                <w:sz w:val="18"/>
              </w:rPr>
              <w:t>Captura, vacinação e esterilização de errantes e execução dos programas de captura, esterilização e devolução</w:t>
            </w:r>
          </w:p>
        </w:tc>
      </w:tr>
      <w:tr>
        <w:tc>
          <w:tcPr>
            <w:tcW w:type="dxa" w:w="1928"/>
          </w:tcPr>
          <w:p>
            <w:pPr>
              <w:spacing w:after="40"/>
              <w:jc w:val="both"/>
            </w:pPr>
            <w:r/>
            <w:r>
              <w:rPr>
                <w:sz w:val="18"/>
              </w:rPr>
              <w:t>Despesas</w:t>
            </w:r>
          </w:p>
        </w:tc>
        <w:tc>
          <w:tcPr>
            <w:tcW w:type="dxa" w:w="2835"/>
          </w:tcPr>
          <w:p>
            <w:pPr>
              <w:spacing w:after="40"/>
              <w:jc w:val="both"/>
            </w:pPr>
            <w:r/>
            <w:r>
              <w:rPr>
                <w:sz w:val="18"/>
              </w:rPr>
              <w:t>Art.º 9.º, n.º 2, do DL 314/2003</w:t>
            </w:r>
          </w:p>
        </w:tc>
        <w:tc>
          <w:tcPr>
            <w:tcW w:type="dxa" w:w="4025"/>
          </w:tcPr>
          <w:p>
            <w:pPr>
              <w:spacing w:after="40"/>
              <w:jc w:val="both"/>
            </w:pPr>
            <w:r/>
            <w:r>
              <w:rPr>
                <w:sz w:val="18"/>
              </w:rPr>
              <w:t>Alimentação e alojamento a cargo do detentor</w:t>
            </w:r>
          </w:p>
        </w:tc>
      </w:tr>
      <w:tr>
        <w:tc>
          <w:tcPr>
            <w:tcW w:type="dxa" w:w="1928"/>
          </w:tcPr>
          <w:p>
            <w:pPr>
              <w:spacing w:after="40"/>
              <w:jc w:val="both"/>
            </w:pPr>
            <w:r/>
            <w:r>
              <w:rPr>
                <w:sz w:val="18"/>
              </w:rPr>
              <w:t>Cadáveres</w:t>
            </w:r>
          </w:p>
        </w:tc>
        <w:tc>
          <w:tcPr>
            <w:tcW w:type="dxa" w:w="2835"/>
          </w:tcPr>
          <w:p>
            <w:pPr>
              <w:spacing w:after="40"/>
              <w:jc w:val="both"/>
            </w:pPr>
            <w:r/>
            <w:r>
              <w:rPr>
                <w:sz w:val="18"/>
              </w:rPr>
              <w:t>Art.º 12.º do DL 314/2003</w:t>
            </w:r>
          </w:p>
        </w:tc>
        <w:tc>
          <w:tcPr>
            <w:tcW w:type="dxa" w:w="4025"/>
          </w:tcPr>
          <w:p>
            <w:pPr>
              <w:spacing w:after="40"/>
              <w:jc w:val="both"/>
            </w:pPr>
            <w:r/>
            <w:r>
              <w:rPr>
                <w:sz w:val="18"/>
              </w:rPr>
              <w:t>Destruição assegurada pelas câmaras municipais</w:t>
            </w:r>
          </w:p>
        </w:tc>
      </w:tr>
      <w:tr>
        <w:tc>
          <w:tcPr>
            <w:tcW w:type="dxa" w:w="1928"/>
          </w:tcPr>
          <w:p>
            <w:pPr>
              <w:spacing w:after="40"/>
              <w:jc w:val="both"/>
            </w:pPr>
            <w:r/>
            <w:r>
              <w:rPr>
                <w:sz w:val="18"/>
              </w:rPr>
              <w:t>Relato</w:t>
            </w:r>
          </w:p>
        </w:tc>
        <w:tc>
          <w:tcPr>
            <w:tcW w:type="dxa" w:w="2835"/>
          </w:tcPr>
          <w:p>
            <w:pPr>
              <w:spacing w:after="40"/>
              <w:jc w:val="both"/>
            </w:pPr>
            <w:r/>
            <w:r>
              <w:rPr>
                <w:sz w:val="18"/>
              </w:rPr>
              <w:t>Art.º 3.º, n.ºs 9 e 10, da Lei n.º 27/2016</w:t>
            </w:r>
          </w:p>
        </w:tc>
        <w:tc>
          <w:tcPr>
            <w:tcW w:type="dxa" w:w="4025"/>
          </w:tcPr>
          <w:p>
            <w:pPr>
              <w:spacing w:after="40"/>
              <w:jc w:val="both"/>
            </w:pPr>
            <w:r/>
            <w:r>
              <w:rPr>
                <w:sz w:val="18"/>
              </w:rPr>
              <w:t>Relatório de gestão anual publicitado no primeiro mês do ano; relatório nacional da DGAV até ao fim do primeiro trimestre</w:t>
            </w:r>
          </w:p>
        </w:tc>
      </w:tr>
      <w:tr>
        <w:tc>
          <w:tcPr>
            <w:tcW w:type="dxa" w:w="1928"/>
          </w:tcPr>
          <w:p>
            <w:pPr>
              <w:spacing w:after="40"/>
              <w:jc w:val="both"/>
            </w:pPr>
            <w:r/>
            <w:r>
              <w:rPr>
                <w:sz w:val="18"/>
              </w:rPr>
              <w:t>Prazo do projeto</w:t>
            </w:r>
          </w:p>
        </w:tc>
        <w:tc>
          <w:tcPr>
            <w:tcW w:type="dxa" w:w="2835"/>
          </w:tcPr>
          <w:p>
            <w:pPr>
              <w:spacing w:after="40"/>
              <w:jc w:val="both"/>
            </w:pPr>
            <w:r/>
            <w:r>
              <w:rPr>
                <w:sz w:val="18"/>
              </w:rPr>
              <w:t>Art.º 59.º, n.º 3, do anexo</w:t>
            </w:r>
          </w:p>
        </w:tc>
        <w:tc>
          <w:tcPr>
            <w:tcW w:type="dxa" w:w="4025"/>
          </w:tcPr>
          <w:p>
            <w:pPr>
              <w:spacing w:after="40"/>
              <w:jc w:val="both"/>
            </w:pPr>
            <w:r/>
            <w:r>
              <w:rPr>
                <w:sz w:val="18"/>
              </w:rPr>
              <w:t>Cinco dias úteis para a recolha pelo detentor</w:t>
            </w:r>
          </w:p>
        </w:tc>
      </w:tr>
    </w:tbl>
    <w:p>
      <w:pPr>
        <w:spacing w:after="80"/>
      </w:pPr>
    </w:p>
    <w:p>
      <w:pPr>
        <w:spacing w:after="120"/>
      </w:pPr>
      <w:r>
        <w:rPr>
          <w:b w:val="0"/>
          <w:i w:val="0"/>
          <w:sz w:val="21"/>
        </w:rPr>
        <w:t>Os prazos são, portanto, quatro e não coincidem: oito dias de permanência mínima, quinze dias para a presunção de abandono, dez dias no mínimo proposto pelo projeto de RGAC e cinco dias úteis no artigo do projeto em análise.</w:t>
      </w:r>
    </w:p>
    <w:p>
      <w:pPr>
        <w:spacing w:before="240" w:after="80"/>
      </w:pPr>
      <w:r>
        <w:rPr>
          <w:b/>
          <w:color w:val="1F3B63"/>
          <w:sz w:val="22"/>
        </w:rPr>
        <w:t>4.3. A sede da matéria no diploma</w:t>
      </w:r>
    </w:p>
    <w:p>
      <w:pPr>
        <w:spacing w:after="120"/>
      </w:pPr>
      <w:r>
        <w:rPr>
          <w:b w:val="0"/>
          <w:i w:val="0"/>
          <w:sz w:val="21"/>
        </w:rPr>
        <w:t>O artigo está no Título II, «Requisitos de exercício», Capítulo II, «Requisitos especiais de exercício», Secção III, «Atividade pecuária», Subsecção IV, «Medidas Administrativas», entre o artigo das medidas administrativas e o das sanções acessórias. Foi aí colocado como medida de polícia do licenciamento pecuário: o animal errante é sintoma de incumprimento do dever de contenção, que é condição de exercício pela al. j) do n.º 1 do art.º 54.º, e o n.º 4 do art.º 59.º condiciona a devolução à verificação de que a exploração dispõe de condições que previnam nova fuga.</w:t>
      </w:r>
    </w:p>
    <w:p>
      <w:pPr>
        <w:spacing w:after="120"/>
      </w:pPr>
      <w:r>
        <w:rPr>
          <w:b w:val="0"/>
          <w:i w:val="0"/>
          <w:sz w:val="21"/>
        </w:rPr>
        <w:t>O artigo foi inserido por inteiro em 23 de setembro de 2026, em nome de «Utilizador Convidado», no conjunto de cerca de noventa inserções dessa data, na véspera da reunião de 24 de setembro. O seu próprio autor deixou-lhe um comentário ancorado ao n.º 1: «Qual é a entidade competente?».</w:t>
      </w:r>
    </w:p>
    <w:p>
      <w:pPr>
        <w:spacing w:before="240" w:after="80"/>
      </w:pPr>
      <w:r>
        <w:rPr>
          <w:b/>
          <w:color w:val="1F3B63"/>
          <w:sz w:val="22"/>
        </w:rPr>
        <w:t>4.4. Onde o projeto toca os centros de recolha oficial</w:t>
      </w:r>
    </w:p>
    <w:p>
      <w:pPr>
        <w:pStyle w:val="ListBullet"/>
        <w:spacing w:after="60"/>
        <w:jc w:val="both"/>
      </w:pPr>
      <w:r>
        <w:rPr>
          <w:sz w:val="21"/>
        </w:rPr>
        <w:t>Pela omissão. O art.º 59.º não identifica instalação alguma, mas refere despesas de «alojamento» no n.º 3 e atribui ao município a determinação do destino no n.º 5. O município dispõe de uma única instalação de alojamento de animais, que é o centro de recolha oficial.</w:t>
      </w:r>
    </w:p>
    <w:p>
      <w:pPr>
        <w:pStyle w:val="ListBullet"/>
        <w:spacing w:after="60"/>
        <w:jc w:val="both"/>
      </w:pPr>
      <w:r>
        <w:rPr>
          <w:sz w:val="21"/>
        </w:rPr>
        <w:t>Pela terminologia. A subal. i) da al. c) do art.º 48.º define «Centro de Agrupamento» como «os locais, como centros de recolha, feiras e mercados […] onde são agrupados animais provenientes de diferentes explorações». A expressão «centros de recolha» é a mesma que o Decreto-Lei n.º 276/2001 usa para o canil e o gatil municipais. A definição é herdada do art.º 2.º do Decreto-Lei n.º 81/2013, pelo que a coincidência não é nova; novo é o contacto, porque nada mandava, até agora, animais pecuários para a mão do município. Na pronúncia, basta a nota de que não são a mesma realidade.</w:t>
      </w:r>
    </w:p>
    <w:p>
      <w:pPr>
        <w:pStyle w:val="ListBullet"/>
        <w:spacing w:after="60"/>
        <w:jc w:val="both"/>
      </w:pPr>
      <w:r>
        <w:rPr>
          <w:sz w:val="21"/>
        </w:rPr>
        <w:t>Pela capacidade e pelos meios. A Lei n.º 27/2016 afetou aos centros de recolha oficial uma missão determinada, e é sobre ela que se construíram os apoios públicos. Uma função adicional sem meios, com o encargo a recair no município sempre que o detentor não seja identificado, que é a regra no gado deambulante, compromete a missão existente.</w:t>
      </w:r>
    </w:p>
    <w:p>
      <w:pPr>
        <w:spacing w:before="240" w:after="80"/>
      </w:pPr>
      <w:r>
        <w:rPr>
          <w:b/>
          <w:color w:val="1F3B63"/>
          <w:sz w:val="22"/>
        </w:rPr>
        <w:t>4.4-A. A remissão do artigo 59.º para o bem-estar animal, e a ausência de parâmetro</w:t>
      </w:r>
    </w:p>
    <w:p>
      <w:pPr>
        <w:spacing w:after="120"/>
      </w:pPr>
      <w:r>
        <w:rPr>
          <w:b w:val="0"/>
          <w:i w:val="0"/>
          <w:sz w:val="21"/>
        </w:rPr>
        <w:t>É o fio mais sólido deste ponto, porque não exige crítica alguma ao diploma: é o próprio artigo que invoca um parâmetro de bem-estar animal, duas vezes.</w:t>
      </w:r>
    </w:p>
    <w:p>
      <w:pPr>
        <w:spacing w:after="40"/>
        <w:ind w:left="454" w:right="227"/>
      </w:pPr>
      <w:r>
        <w:rPr>
          <w:i/>
          <w:sz w:val="19"/>
        </w:rPr>
        <w:t>«4 – O animal só pode ser restituído ao respetivo detentor e reintroduzido na exploração pecuária de origem após a regularização da sua identificação e registo, o cumprimento das medidas sanitárias e de bem-estar animal determinadas pela autoridade competente e a verificação de que a exploração dispõe de condições adequadas de alojamento e contenção que previnam nova fuga ou deambulação.»</w:t>
      </w:r>
    </w:p>
    <w:p>
      <w:pPr>
        <w:spacing w:after="160"/>
        <w:ind w:left="454"/>
      </w:pPr>
      <w:r>
        <w:rPr>
          <w:color w:val="555555"/>
          <w:sz w:val="17"/>
        </w:rPr>
        <w:t>n.º 4 do art.º 59.º do anexo.</w:t>
      </w:r>
    </w:p>
    <w:p>
      <w:pPr>
        <w:spacing w:after="40"/>
        <w:ind w:left="454" w:right="227"/>
      </w:pPr>
      <w:r>
        <w:rPr>
          <w:i/>
          <w:sz w:val="19"/>
        </w:rPr>
        <w:t>«5 – Não sendo conhecido o proprietário ou detentor, não sendo o animal reclamado por qualquer deles no prazo referido no número anterior ou declarando qualquer deles que não pretende recebê-lo, o destino do animal é determinado pelo município territorialmente competente, em articulação com a DGAV, observadas as normas relativas à identificação, registo, circulação, sanidade e bem-estar animal.»</w:t>
      </w:r>
    </w:p>
    <w:p>
      <w:pPr>
        <w:spacing w:after="160"/>
        <w:ind w:left="454"/>
      </w:pPr>
      <w:r>
        <w:rPr>
          <w:color w:val="555555"/>
          <w:sz w:val="17"/>
        </w:rPr>
        <w:t>n.º 5 do art.º 59.º do anexo.</w:t>
      </w:r>
    </w:p>
    <w:p>
      <w:pPr>
        <w:spacing w:after="120"/>
      </w:pPr>
      <w:r>
        <w:rPr>
          <w:b w:val="0"/>
          <w:i w:val="0"/>
          <w:sz w:val="21"/>
        </w:rPr>
        <w:t>Para o cão e o gato essas normas existem, no Decreto-Lei n.º 276/2001 e na Portaria n.º 146/2017. Para as espécies pecuárias alojadas numa instalação municipal não existem, e por dupla exclusão. O n.º 2 do art.º 1.º do Decreto-Lei n.º 276/2001 exclui do âmbito daquele diploma «os touros de lide e as espécies de pecuária». E o art.º 2.º da Portaria n.º 146/2017 circunscreve o regime dos centros de recolha às espécies da Parte A do Anexo I do Regulamento (UE) 2016/429.</w:t>
      </w:r>
    </w:p>
    <w:p>
      <w:pPr>
        <w:spacing w:after="120"/>
      </w:pPr>
      <w:r>
        <w:rPr>
          <w:b w:val="0"/>
          <w:i w:val="0"/>
          <w:sz w:val="21"/>
        </w:rPr>
        <w:t>A conclusão é que o artigo remete para um parâmetro que, quanto a estas espécies, está vazio. A observação não imputa defeito ao projeto: responde a uma pergunta que o próprio projeto formula, e é por isso o ângulo de pronúncia mais seguro.</w:t>
      </w:r>
    </w:p>
    <w:p>
      <w:pPr>
        <w:spacing w:before="240" w:after="80"/>
      </w:pPr>
      <w:r>
        <w:rPr>
          <w:b/>
          <w:color w:val="1F3B63"/>
          <w:sz w:val="22"/>
        </w:rPr>
        <w:t>4.4-B. Os critérios a fixar</w:t>
      </w:r>
    </w:p>
    <w:p>
      <w:pPr>
        <w:spacing w:after="120"/>
      </w:pPr>
      <w:r>
        <w:rPr>
          <w:b w:val="0"/>
          <w:i w:val="0"/>
          <w:sz w:val="21"/>
        </w:rPr>
        <w:t>Conteúdo mínimo de uma norma técnica de alojamento destas espécies numa instalação de recolha.</w:t>
      </w:r>
    </w:p>
    <w:p>
      <w:pPr>
        <w:pStyle w:val="ListBullet"/>
        <w:spacing w:after="60"/>
        <w:jc w:val="both"/>
      </w:pPr>
      <w:r>
        <w:rPr>
          <w:sz w:val="21"/>
        </w:rPr>
        <w:t>Áreas e dimensões por espécie e por fase de desenvolvimento.</w:t>
      </w:r>
    </w:p>
    <w:p>
      <w:pPr>
        <w:pStyle w:val="ListBullet"/>
        <w:spacing w:after="60"/>
        <w:jc w:val="both"/>
      </w:pPr>
      <w:r>
        <w:rPr>
          <w:sz w:val="21"/>
        </w:rPr>
        <w:t>Separação entre espécies incompatíveis, com isolamento visual, sonoro e olfativo entre presas e predadores. O ambiente acústico de um canil é, em si, um fator de stress crónico para espécies presa.</w:t>
      </w:r>
    </w:p>
    <w:p>
      <w:pPr>
        <w:pStyle w:val="ListBullet"/>
        <w:spacing w:after="60"/>
        <w:jc w:val="both"/>
      </w:pPr>
      <w:r>
        <w:rPr>
          <w:sz w:val="21"/>
        </w:rPr>
        <w:t>Quarentena e biossegurança à entrada. O animal chega sem identificação e sem exploração de origem conhecida, pelo que o seu estado sanitário é indeterminado.</w:t>
      </w:r>
    </w:p>
    <w:p>
      <w:pPr>
        <w:pStyle w:val="ListBullet"/>
        <w:spacing w:after="60"/>
        <w:jc w:val="both"/>
      </w:pPr>
      <w:r>
        <w:rPr>
          <w:sz w:val="21"/>
        </w:rPr>
        <w:t>Alimentação e abeberamento próprios da espécie, incluindo regime de forragem para os herbívoros.</w:t>
      </w:r>
    </w:p>
    <w:p>
      <w:pPr>
        <w:pStyle w:val="ListBullet"/>
        <w:spacing w:after="60"/>
        <w:jc w:val="both"/>
      </w:pPr>
      <w:r>
        <w:rPr>
          <w:sz w:val="21"/>
        </w:rPr>
        <w:t>Meios de contenção e de maneio seguro, matéria em que o risco para o pessoal difere do dos animais de companhia.</w:t>
      </w:r>
    </w:p>
    <w:p>
      <w:pPr>
        <w:pStyle w:val="ListBullet"/>
        <w:spacing w:after="60"/>
        <w:jc w:val="both"/>
      </w:pPr>
      <w:r>
        <w:rPr>
          <w:sz w:val="21"/>
        </w:rPr>
        <w:t>Lotação máxima determinada pelos recursos efetivos da instalação, e não apenas pela área construída.</w:t>
      </w:r>
    </w:p>
    <w:p>
      <w:pPr>
        <w:spacing w:after="120"/>
      </w:pPr>
      <w:r>
        <w:rPr>
          <w:b w:val="0"/>
          <w:i w:val="0"/>
          <w:sz w:val="21"/>
        </w:rPr>
        <w:t>Nota de dimensionamento, com consequência prática imediata: o compartimento financiado tem área mínima coberta de três metros quadrados por animal. É medida pensada para espécies de pequeno porte. Para um equídeo ou um bovino é insuficiente, pelo que o valor dos Avisos não pode ser transposto sem revisão. Para ordem de grandeza: o código de boas práticas galês referido no ponto 4.9 recomenda, para um cavalo, box de 3,65 m por 3,65 m, ou seja cerca de treze metros quadrados, e 4,5 m² de área coberta por burro.</w:t>
      </w:r>
    </w:p>
    <w:p>
      <w:pPr>
        <w:spacing w:before="240" w:after="80"/>
      </w:pPr>
      <w:r>
        <w:rPr>
          <w:b/>
          <w:color w:val="1F3B63"/>
          <w:sz w:val="22"/>
        </w:rPr>
        <w:t>4.4-C. A instalação de destino determina o regime do animal</w:t>
      </w:r>
    </w:p>
    <w:p>
      <w:pPr>
        <w:spacing w:after="120"/>
      </w:pPr>
      <w:r>
        <w:rPr>
          <w:b w:val="0"/>
          <w:i w:val="0"/>
          <w:sz w:val="21"/>
        </w:rPr>
        <w:t>O artigo 59.º não identifica instalação alguma, e dessa omissão resulta uma consequência material, porque os dois regimes possíveis conduzem a destinos opostos.</w:t>
      </w:r>
    </w:p>
    <w:p>
      <w:pPr>
        <w:spacing w:after="120"/>
      </w:pPr>
      <w:r>
        <w:rPr>
          <w:b w:val="0"/>
          <w:i w:val="0"/>
          <w:sz w:val="21"/>
        </w:rPr>
        <w:t>Se o animal for entregue a um centro de recolha oficial, aplica-se a Lei n.º 27/2016, que é espécie-neutra pelas razões do ponto 4.5: a presunção de abandono do n.º 1 do seu art.º 3.º, a esterilização obrigatória, o encaminhamento para adoção e a proibição do abate como forma de controlo da população.</w:t>
      </w:r>
    </w:p>
    <w:p>
      <w:pPr>
        <w:spacing w:after="120"/>
      </w:pPr>
      <w:r>
        <w:rPr>
          <w:b w:val="0"/>
          <w:i w:val="0"/>
          <w:sz w:val="21"/>
        </w:rPr>
        <w:t>Se o animal seguir a lógica da apreensão em exploração, o n.º 4 do art.º 57.º do anexo aponta em sentido inverso:</w:t>
      </w:r>
    </w:p>
    <w:p>
      <w:pPr>
        <w:spacing w:after="40"/>
        <w:ind w:left="454" w:right="227"/>
      </w:pPr>
      <w:r>
        <w:rPr>
          <w:i/>
          <w:sz w:val="19"/>
        </w:rPr>
        <w:t>«4 - Caso não existam condições técnicas ou sanitárias para a manutenção, ou na impossibilidade de ser encontrado um fiel depositário adequado, os animais apreendidos numa exploração pecuária devem ser: a) Conduzidos ao matadouro e abatidos, caso sejam aprovados para consumo; ou b) Destruídos nos termos da legislação em vigor, se não for possível assegurar a segurança sanitária dos animais, na perspetiva da sua aprovação para consumo.»</w:t>
      </w:r>
    </w:p>
    <w:p>
      <w:pPr>
        <w:spacing w:after="160"/>
        <w:ind w:left="454"/>
      </w:pPr>
      <w:r>
        <w:rPr>
          <w:color w:val="555555"/>
          <w:sz w:val="17"/>
        </w:rPr>
        <w:t>n.º 4 do art.º 57.º do anexo.</w:t>
      </w:r>
    </w:p>
    <w:p>
      <w:pPr>
        <w:spacing w:after="120"/>
      </w:pPr>
      <w:r>
        <w:rPr>
          <w:b w:val="0"/>
          <w:i w:val="0"/>
          <w:sz w:val="21"/>
        </w:rPr>
        <w:t>Acresce que a aprovação para consumo é, no caso do animal errante, improvável: sem identificação não é possível demonstrar o cumprimento de intervalos de segurança, pelo que o destino realista é a destruição como subproduto. A escolha da instalação não é, por isso, uma questão de arrumação administrativa: decide se o animal saudável é esterilizado e encaminhado para adoção ou se é occisionado.</w:t>
      </w:r>
    </w:p>
    <w:p>
      <w:pPr>
        <w:spacing w:before="240" w:after="80"/>
      </w:pPr>
      <w:r>
        <w:rPr>
          <w:b/>
          <w:color w:val="1F3B63"/>
          <w:sz w:val="22"/>
        </w:rPr>
        <w:t>4.4-D. A qualificação da própria instalação</w:t>
      </w:r>
    </w:p>
    <w:p>
      <w:pPr>
        <w:spacing w:after="120"/>
      </w:pPr>
      <w:r>
        <w:rPr>
          <w:b w:val="0"/>
          <w:i w:val="0"/>
          <w:sz w:val="21"/>
        </w:rPr>
        <w:t>A al. b) do art.º 48.º do anexo inclui o equídeo e o leporídeo na definição de animal de espécie pecuária, e os limiares do diploma assentam em cabeças normais, nos termos da al. f) do mesmo artigo. O Anexo V, que fixaria as equivalências, contém a epígrafe, a remissão e uma nota, mas não a tabela. Não é por isso possível, nesta versão, determinar a partir de que efetivo uma instalação que acolha animais recolhidos passaria a exercer atividade pecuária sujeita a título.</w:t>
      </w:r>
    </w:p>
    <w:p>
      <w:pPr>
        <w:spacing w:after="120"/>
      </w:pPr>
      <w:r>
        <w:rPr>
          <w:b w:val="0"/>
          <w:i w:val="0"/>
          <w:sz w:val="21"/>
        </w:rPr>
        <w:t>A questão não é teórica, e está documentada em fonte parlamentar:</w:t>
      </w:r>
    </w:p>
    <w:p>
      <w:pPr>
        <w:spacing w:after="40"/>
        <w:ind w:left="454" w:right="227"/>
      </w:pPr>
      <w:r>
        <w:rPr>
          <w:i/>
          <w:sz w:val="19"/>
        </w:rPr>
        <w:t>«na actual realidade, para se proceder à criação de um santuário de animais de quinta, é obrigatória a inscrição como exploração de animais de pecuária»</w:t>
      </w:r>
    </w:p>
    <w:p>
      <w:pPr>
        <w:spacing w:after="160"/>
        <w:ind w:left="454"/>
      </w:pPr>
      <w:r>
        <w:rPr>
          <w:color w:val="555555"/>
          <w:sz w:val="17"/>
        </w:rPr>
        <w:t>Projeto de Resolução n.º 82/XIV/1.ª, exposição de motivos.</w:t>
      </w:r>
    </w:p>
    <w:p>
      <w:pPr>
        <w:spacing w:after="120"/>
      </w:pPr>
      <w:r>
        <w:rPr>
          <w:b w:val="0"/>
          <w:i w:val="0"/>
          <w:sz w:val="21"/>
        </w:rPr>
        <w:t>O mesmo documento liga esta ausência de infraestrutura ao destino dos animais:</w:t>
      </w:r>
    </w:p>
    <w:p>
      <w:pPr>
        <w:spacing w:after="40"/>
        <w:ind w:left="454" w:right="227"/>
      </w:pPr>
      <w:r>
        <w:rPr>
          <w:i/>
          <w:sz w:val="19"/>
        </w:rPr>
        <w:t>«Nestes casos, a autoridade administrativa deveria determinar a apreensão dos animais com subsequente designação de fiel depositário – tal não acontece por inexistência de infraestruturas para o efeito, o que deriva no abate desnecessário e desadequado de animais saudáveis»</w:t>
      </w:r>
    </w:p>
    <w:p>
      <w:pPr>
        <w:spacing w:after="160"/>
        <w:ind w:left="454"/>
      </w:pPr>
      <w:r>
        <w:rPr>
          <w:color w:val="555555"/>
          <w:sz w:val="17"/>
        </w:rPr>
        <w:t>Projeto de Resolução n.º 82/XIV/1.ª, exposição de motivos.</w:t>
      </w:r>
    </w:p>
    <w:p>
      <w:pPr>
        <w:spacing w:after="120"/>
      </w:pPr>
      <w:r>
        <w:rPr>
          <w:b w:val="0"/>
          <w:i w:val="0"/>
          <w:color w:val="555555"/>
          <w:sz w:val="19"/>
        </w:rPr>
        <w:t>O projeto refere o caso dos 104 cavalos apreendidos nos concelhos de Aljustrel e de Ferreira do Alentejo, que nove dias depois da apreensão permaneciam nas mesmas explorações. Trata-se de um projeto de resolução de 2019, citado como documentação do problema e não como direito vigente; não foi confirmado se foi aprovado.</w:t>
      </w:r>
    </w:p>
    <w:p>
      <w:pPr>
        <w:spacing w:before="240" w:after="80"/>
      </w:pPr>
      <w:r>
        <w:rPr>
          <w:b/>
          <w:color w:val="1F3B63"/>
          <w:sz w:val="22"/>
        </w:rPr>
        <w:t>4.4-E. As despesas e os prazos</w:t>
      </w:r>
    </w:p>
    <w:p>
      <w:pPr>
        <w:spacing w:after="120"/>
      </w:pPr>
      <w:r>
        <w:rPr>
          <w:b w:val="0"/>
          <w:i w:val="0"/>
          <w:sz w:val="21"/>
        </w:rPr>
        <w:t>Dois elementos de execução com efeito direto sobre a instalação.</w:t>
      </w:r>
    </w:p>
    <w:p>
      <w:pPr>
        <w:spacing w:after="120"/>
      </w:pPr>
      <w:r>
        <w:rPr>
          <w:b w:val="0"/>
          <w:i w:val="0"/>
          <w:sz w:val="21"/>
        </w:rPr>
        <w:t>As despesas. O n.º 3 e o n.º 6 do art.º 59.º imputam-nas ao proprietário ou detentor identificado. O n.º 5 regula precisamente a hipótese em que este não é conhecido, e nessa hipótese o custo da permanência recai sobre quem detém materialmente o animal, isto é, sobre a instalação. É o elemento que determina o encargo real para a rede.</w:t>
      </w:r>
    </w:p>
    <w:p>
      <w:pPr>
        <w:spacing w:after="120"/>
      </w:pPr>
      <w:r>
        <w:rPr>
          <w:b w:val="0"/>
          <w:i w:val="0"/>
          <w:sz w:val="21"/>
        </w:rPr>
        <w:t>Os prazos. Aos quatro prazos do ponto 4.2 acresce que, recebendo a mesma instalação animais ao abrigo de regimes diferentes, correm em paralelo prazos de reclamação distintos sobre animais alojados no mesmo espaço: oito dias pelo n.º 1 do art.º 9.º do Decreto-Lei n.º 314/2003, quinze dias pelo n.º 1 do art.º 3.º da Lei n.º 27/2016 e cinco dias úteis pelo n.º 3 do art.º 59.º do anexo.</w:t>
      </w:r>
    </w:p>
    <w:p>
      <w:pPr>
        <w:spacing w:before="240" w:after="80"/>
      </w:pPr>
      <w:r>
        <w:rPr>
          <w:b/>
          <w:color w:val="1F3B63"/>
          <w:sz w:val="22"/>
        </w:rPr>
        <w:t>4.5. A base legal não é restritiva: a restrição está na portaria</w:t>
      </w:r>
    </w:p>
    <w:p>
      <w:pPr>
        <w:spacing w:after="120"/>
      </w:pPr>
      <w:r>
        <w:rPr>
          <w:b w:val="0"/>
          <w:i w:val="0"/>
          <w:sz w:val="21"/>
        </w:rPr>
        <w:t>A lei habilitante é espécie-neutra. A Lei n.º 27/2016, de 23 de agosto, intitula-se «Aprova medidas para a criação de uma rede de centros de recolha oficial de animais» e o seu art.º 1.º dispõe que «A presente lei aprova medidas para a criação de uma rede de centros de recolha oficial de animais e para a modernização dos serviços municipais de veterinária, e estabelece a proibição do abate de animais errantes como forma de controlo da população, privilegiando a esterilização». Em nenhum dos dois lugares a lei escreve «animais de companhia»: escreve «animais».</w:t>
      </w:r>
    </w:p>
    <w:p>
      <w:pPr>
        <w:spacing w:after="120"/>
      </w:pPr>
      <w:r>
        <w:rPr>
          <w:b w:val="0"/>
          <w:i w:val="0"/>
          <w:sz w:val="21"/>
        </w:rPr>
        <w:t>A restrição é introduzida pelo diploma de execução. O art.º 1.º da Portaria n.º 146/2017, de 26 de abril, define o objeto como a regulamentação da «criação de uma rede efetiva de centros de recolha oficial de animais de companhia», e o art.º 2.º fixa o âmbito:</w:t>
      </w:r>
    </w:p>
    <w:p>
      <w:pPr>
        <w:spacing w:after="40"/>
        <w:ind w:left="454" w:right="227"/>
      </w:pPr>
      <w:r>
        <w:rPr>
          <w:i/>
          <w:sz w:val="19"/>
        </w:rPr>
        <w:t>«A presente portaria aplica-se aos centros de recolha oficial (CRO) de animais de companhia e controlo das populações errantes desses animais, considerando-se como tais as espécies previstas na Parte A do Anexo I do Regulamento (UE) 2016/429, do Parlamento Europeu e do Conselho, de 9 de março.»</w:t>
      </w:r>
    </w:p>
    <w:p>
      <w:pPr>
        <w:spacing w:after="160"/>
        <w:ind w:left="454"/>
      </w:pPr>
      <w:r>
        <w:rPr>
          <w:color w:val="555555"/>
          <w:sz w:val="17"/>
        </w:rPr>
        <w:t>art.º 2.º da Portaria n.º 146/2017, de 26 de abril.</w:t>
      </w:r>
    </w:p>
    <w:p>
      <w:pPr>
        <w:spacing w:after="120"/>
      </w:pPr>
      <w:r>
        <w:rPr>
          <w:b w:val="0"/>
          <w:i w:val="0"/>
          <w:sz w:val="21"/>
        </w:rPr>
        <w:t>A delimitação opera, portanto, por remissão para a Parte A do Anexo I da Lei da Saúde Animal, que abrange o cão, o gato e o furão. Ficam fora as espécies da Parte B, entre elas os coelhos, os roedores e as aves, e ficam fora os equídeos e as demais espécies pecuárias.</w:t>
      </w:r>
    </w:p>
    <w:p>
      <w:pPr>
        <w:spacing w:after="120"/>
      </w:pPr>
      <w:r>
        <w:rPr>
          <w:b w:val="0"/>
          <w:i w:val="0"/>
          <w:sz w:val="21"/>
        </w:rPr>
        <w:t>Consequência relevante para a pronúncia: o estreitamento do âmbito dos centros de recolha oficial às três espécies da Parte A é obra de portaria, e não da lei. A sede da eventual ampliação é, por isso, regulamentar, e a competência de proposta cabe à área do bem-estar animal. Não depende deste diploma.</w:t>
      </w:r>
    </w:p>
    <w:p>
      <w:pPr>
        <w:spacing w:before="240" w:after="80"/>
      </w:pPr>
      <w:r>
        <w:rPr>
          <w:b/>
          <w:color w:val="1F3B63"/>
          <w:sz w:val="22"/>
        </w:rPr>
        <w:t>4.6. Os Avisos de financiamento, de 2018 a 2026</w:t>
      </w:r>
    </w:p>
    <w:p>
      <w:pPr>
        <w:spacing w:after="120"/>
      </w:pPr>
      <w:r>
        <w:rPr>
          <w:b w:val="0"/>
          <w:i w:val="0"/>
          <w:sz w:val="21"/>
        </w:rPr>
        <w:t>O alojamento de espécies diferentes do cão e do gato nos centros de recolha oficial não é uma hipótese teórica: foi requisito mínimo de construção e item financiado, de forma contínua, durante oito anos e sob duas entidades gestoras sucessivas.</w:t>
      </w:r>
    </w:p>
    <w:p>
      <w:pPr>
        <w:spacing w:after="120"/>
      </w:pPr>
      <w:r>
        <w:rPr>
          <w:b w:val="0"/>
          <w:i w:val="0"/>
          <w:sz w:val="21"/>
        </w:rPr>
        <w:t>O programa foi aprovado pelo Despacho n.º 3321/2018, publicado no Diário da República, ao abrigo do n.º 4 do art.º 2.º da Lei n.º 27/2016 e do art.º 227.º da Lei n.º 114/2017, de 29 de dezembro. O ponto 1 do seu anexo estabelecia:</w:t>
      </w:r>
    </w:p>
    <w:p>
      <w:pPr>
        <w:spacing w:after="40"/>
        <w:ind w:left="454" w:right="227"/>
      </w:pPr>
      <w:r>
        <w:rPr>
          <w:i/>
          <w:sz w:val="19"/>
        </w:rPr>
        <w:t>«a) Um CRO municipal deve possuir a capacidade mínima de alojamento para 15 cães/gatos e uma cela de isolamento, uma boxe para outros animais, bem como uma sala que permita realizar a esterilização e/ou tratamentos.»</w:t>
      </w:r>
    </w:p>
    <w:p>
      <w:pPr>
        <w:spacing w:after="160"/>
        <w:ind w:left="454"/>
      </w:pPr>
      <w:r>
        <w:rPr>
          <w:color w:val="555555"/>
          <w:sz w:val="17"/>
        </w:rPr>
        <w:t>al. a) do n.º 1 do anexo «Valores de referência e limites» ao Despacho n.º 3321/2018, publicado no Diário da República, 2.ª série, n.º 66, de 4 de abril de 2018.</w:t>
      </w:r>
    </w:p>
    <w:p>
      <w:pPr>
        <w:spacing w:after="120"/>
      </w:pPr>
      <w:r>
        <w:rPr>
          <w:b w:val="0"/>
          <w:i w:val="0"/>
          <w:sz w:val="21"/>
        </w:rPr>
        <w:t>A mesma formulação, e o correspondente item da tabela de apoios, mantiveram-se nos Avisos seguintes, com atualização apenas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tcPr>
          <w:p>
            <w:pPr>
              <w:spacing w:after="40"/>
            </w:pPr>
            <w:r/>
            <w:r>
              <w:rPr>
                <w:b/>
                <w:color w:val="1F3B63"/>
                <w:sz w:val="18"/>
              </w:rPr>
              <w:t>Aviso</w:t>
            </w:r>
          </w:p>
        </w:tc>
        <w:tc>
          <w:tcPr>
            <w:tcW w:type="dxa" w:w="1474"/>
          </w:tcPr>
          <w:p>
            <w:pPr>
              <w:spacing w:after="40"/>
            </w:pPr>
            <w:r/>
            <w:r>
              <w:rPr>
                <w:b/>
                <w:color w:val="1F3B63"/>
                <w:sz w:val="18"/>
              </w:rPr>
              <w:t>Entidade</w:t>
            </w:r>
          </w:p>
        </w:tc>
        <w:tc>
          <w:tcPr>
            <w:tcW w:type="dxa" w:w="3061"/>
          </w:tcPr>
          <w:p>
            <w:pPr>
              <w:spacing w:after="40"/>
            </w:pPr>
            <w:r/>
            <w:r>
              <w:rPr>
                <w:b/>
                <w:color w:val="1F3B63"/>
                <w:sz w:val="18"/>
              </w:rPr>
              <w:t>Requisito mínimo</w:t>
            </w:r>
          </w:p>
        </w:tc>
        <w:tc>
          <w:tcPr>
            <w:tcW w:type="dxa" w:w="1417"/>
          </w:tcPr>
          <w:p>
            <w:pPr>
              <w:spacing w:after="40"/>
            </w:pPr>
            <w:r/>
            <w:r>
              <w:rPr>
                <w:b/>
                <w:color w:val="1F3B63"/>
                <w:sz w:val="18"/>
              </w:rPr>
              <w:t>Valor do apoio</w:t>
            </w:r>
          </w:p>
        </w:tc>
      </w:tr>
      <w:tr>
        <w:tc>
          <w:tcPr>
            <w:tcW w:type="dxa" w:w="1701"/>
          </w:tcPr>
          <w:p>
            <w:pPr>
              <w:spacing w:after="40"/>
              <w:jc w:val="both"/>
            </w:pPr>
            <w:r/>
            <w:r>
              <w:rPr>
                <w:sz w:val="18"/>
              </w:rPr>
              <w:t>Despacho n.º 3321/2018</w:t>
            </w:r>
          </w:p>
        </w:tc>
        <w:tc>
          <w:tcPr>
            <w:tcW w:type="dxa" w:w="1474"/>
          </w:tcPr>
          <w:p>
            <w:pPr>
              <w:spacing w:after="40"/>
              <w:jc w:val="both"/>
            </w:pPr>
            <w:r/>
            <w:r>
              <w:rPr>
                <w:sz w:val="18"/>
              </w:rPr>
              <w:t>DGAL, DGAV e CCDR</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1/2021</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1/2022</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1/2023</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1/2025</w:t>
            </w:r>
          </w:p>
        </w:tc>
        <w:tc>
          <w:tcPr>
            <w:tcW w:type="dxa" w:w="1474"/>
          </w:tcPr>
          <w:p>
            <w:pPr>
              <w:spacing w:after="40"/>
              <w:jc w:val="both"/>
            </w:pPr>
            <w:r/>
            <w:r>
              <w:rPr>
                <w:sz w:val="18"/>
              </w:rPr>
              <w:t>DGAV-DBEA</w:t>
            </w:r>
          </w:p>
        </w:tc>
        <w:tc>
          <w:tcPr>
            <w:tcW w:type="dxa" w:w="3061"/>
          </w:tcPr>
          <w:p>
            <w:pPr>
              <w:spacing w:after="40"/>
              <w:jc w:val="both"/>
            </w:pPr>
            <w:r/>
            <w:r>
              <w:rPr>
                <w:sz w:val="18"/>
              </w:rPr>
              <w:t>«um compartimento para outras espécies»</w:t>
            </w:r>
          </w:p>
        </w:tc>
        <w:tc>
          <w:tcPr>
            <w:tcW w:type="dxa" w:w="1417"/>
          </w:tcPr>
          <w:p>
            <w:pPr>
              <w:spacing w:after="40"/>
              <w:jc w:val="both"/>
            </w:pPr>
            <w:r/>
            <w:r>
              <w:rPr>
                <w:sz w:val="18"/>
              </w:rPr>
              <w:t>1 537,02 € (3 m²/animal)</w:t>
            </w:r>
          </w:p>
        </w:tc>
      </w:tr>
      <w:tr>
        <w:tc>
          <w:tcPr>
            <w:tcW w:type="dxa" w:w="1701"/>
          </w:tcPr>
          <w:p>
            <w:pPr>
              <w:spacing w:after="40"/>
              <w:jc w:val="both"/>
            </w:pPr>
            <w:r/>
            <w:r>
              <w:rPr>
                <w:sz w:val="18"/>
              </w:rPr>
              <w:t>Aviso 1/2026</w:t>
            </w:r>
          </w:p>
        </w:tc>
        <w:tc>
          <w:tcPr>
            <w:tcW w:type="dxa" w:w="1474"/>
          </w:tcPr>
          <w:p>
            <w:pPr>
              <w:spacing w:after="40"/>
              <w:jc w:val="both"/>
            </w:pPr>
            <w:r/>
            <w:r>
              <w:rPr>
                <w:sz w:val="18"/>
              </w:rPr>
              <w:t>DGAV-DBEA</w:t>
            </w:r>
          </w:p>
        </w:tc>
        <w:tc>
          <w:tcPr>
            <w:tcW w:type="dxa" w:w="3061"/>
          </w:tcPr>
          <w:p>
            <w:pPr>
              <w:spacing w:after="40"/>
              <w:jc w:val="both"/>
            </w:pPr>
            <w:r/>
            <w:r>
              <w:rPr>
                <w:sz w:val="18"/>
              </w:rPr>
              <w:t>ausente</w:t>
            </w:r>
          </w:p>
        </w:tc>
        <w:tc>
          <w:tcPr>
            <w:tcW w:type="dxa" w:w="1417"/>
          </w:tcPr>
          <w:p>
            <w:pPr>
              <w:spacing w:after="40"/>
              <w:jc w:val="both"/>
            </w:pPr>
            <w:r/>
            <w:r>
              <w:rPr>
                <w:sz w:val="18"/>
              </w:rPr>
              <w:t>ausente</w:t>
            </w:r>
          </w:p>
        </w:tc>
      </w:tr>
    </w:tbl>
    <w:p>
      <w:pPr>
        <w:spacing w:after="80"/>
      </w:pPr>
    </w:p>
    <w:p>
      <w:pPr>
        <w:spacing w:after="120"/>
      </w:pPr>
      <w:r>
        <w:rPr>
          <w:b w:val="0"/>
          <w:i w:val="0"/>
          <w:sz w:val="21"/>
        </w:rPr>
        <w:t>A redação de 2025, na al. b) do n.º 1 do Capítulo XV, é a seguinte:</w:t>
      </w:r>
    </w:p>
    <w:p>
      <w:pPr>
        <w:spacing w:after="40"/>
        <w:ind w:left="454" w:right="227"/>
      </w:pPr>
      <w:r>
        <w:rPr>
          <w:i/>
          <w:sz w:val="19"/>
        </w:rPr>
        <w:t>«Um CRO municipal deve possuir, no mínimo, duas celas de isolamento, um compartimento para outras espécies, bem como uma sala que permita realizar a esterilização, tratamento e/ou occisão»</w:t>
      </w:r>
    </w:p>
    <w:p>
      <w:pPr>
        <w:spacing w:after="160"/>
        <w:ind w:left="454"/>
      </w:pPr>
      <w:r>
        <w:rPr>
          <w:color w:val="555555"/>
          <w:sz w:val="17"/>
        </w:rPr>
        <w:t>al. b) do n.º 1 do Capítulo XV do Aviso n.º 1/2025 DGAV-DBEA.</w:t>
      </w:r>
    </w:p>
    <w:p>
      <w:pPr>
        <w:spacing w:after="120"/>
      </w:pPr>
      <w:r>
        <w:rPr>
          <w:b w:val="0"/>
          <w:i w:val="0"/>
          <w:sz w:val="21"/>
        </w:rPr>
        <w:t>E a al. c), iii), do mesmo número fixava o apoio em «Compartimento para outras espécies (área mínima coberta de 3 m²/animal) – 1 537,02 €».</w:t>
      </w:r>
    </w:p>
    <w:p>
      <w:pPr>
        <w:spacing w:after="120"/>
      </w:pPr>
      <w:r>
        <w:rPr>
          <w:b w:val="0"/>
          <w:i w:val="0"/>
          <w:sz w:val="21"/>
        </w:rPr>
        <w:t>O Aviso n.º 1/2026, que é o Aviso em vigor, não contém uma única ocorrência da palavra «espécie». O item desapareceu dos requisitos técnicos e desapareceu da tabela de apoios. A verificação foi feita por pesquisa sistemática do termo no texto integral dos dois Avisos.</w:t>
      </w:r>
    </w:p>
    <w:p>
      <w:pPr>
        <w:spacing w:after="120"/>
      </w:pPr>
      <w:r>
        <w:rPr>
          <w:b w:val="0"/>
          <w:i/>
          <w:sz w:val="21"/>
        </w:rPr>
        <w:t>Leitura (inferência): o requisito não foi substituído por outro, nem acompanhado de norma transitória. Trata-se, pela aparência, de uma simplificação do Aviso e não de uma decisão de política, mas o efeito é o de retirar do quadro de financiamento a única infraestrutura que permitia aos centros de recolha oficial acolher espécies diferentes do cão e do gato.</w:t>
      </w:r>
    </w:p>
    <w:p>
      <w:pPr>
        <w:spacing w:after="120"/>
      </w:pPr>
      <w:r>
        <w:rPr>
          <w:b w:val="0"/>
          <w:i w:val="0"/>
          <w:color w:val="555555"/>
          <w:sz w:val="19"/>
        </w:rPr>
        <w:t>Nota de precisão a observar na pronúncia: a expressão literal «sala multiespécie» não consta dos Avisos. Consta do documento da Direção-Geral de Veterinária n.º 01/DSSPA/M//2010, de dezembro de 2010, sobre requisitos dos centros de recolha, que classifica as «Instalações por espécie» como obrigatórias e a «sala multiespécie» como recomendável, admitindo em alternativa «protocolos com outros centros de recolha ou outras entidades». Nos Avisos, a designação é «boxe para outros animais» e, a partir de 2025, «compartimento para outras espécies». É esta a expressão a citar.</w:t>
      </w:r>
    </w:p>
    <w:p>
      <w:pPr>
        <w:spacing w:before="240" w:after="80"/>
      </w:pPr>
      <w:r>
        <w:rPr>
          <w:b/>
          <w:color w:val="1F3B63"/>
          <w:sz w:val="22"/>
        </w:rPr>
        <w:t>4.7. A atividade existe e a própria DGAV a registou</w:t>
      </w:r>
    </w:p>
    <w:p>
      <w:pPr>
        <w:spacing w:after="120"/>
      </w:pPr>
      <w:r>
        <w:rPr>
          <w:b w:val="0"/>
          <w:i w:val="0"/>
          <w:sz w:val="21"/>
        </w:rPr>
        <w:t>O Relatório de Atividades dos Centros de Recolha Oficial relativo a 2025 contém a seguinte advertência metodológica:</w:t>
      </w:r>
    </w:p>
    <w:p>
      <w:pPr>
        <w:spacing w:after="40"/>
        <w:ind w:left="454" w:right="227"/>
      </w:pPr>
      <w:r>
        <w:rPr>
          <w:i/>
          <w:sz w:val="19"/>
        </w:rPr>
        <w:t>«Para efeitos do presente relatório, são considerados os dados referentes somente a cães e gatos. Alguns CRO têm ações realizadas com outras espécies, contudo esses dados, apesar de se encontrarem explanados na tabela, não foram considerados para os totais.»</w:t>
      </w:r>
    </w:p>
    <w:p>
      <w:pPr>
        <w:spacing w:after="160"/>
        <w:ind w:left="454"/>
      </w:pPr>
      <w:r>
        <w:rPr>
          <w:color w:val="555555"/>
          <w:sz w:val="17"/>
        </w:rPr>
        <w:t>DGAV, Relatório de Atividades dos Centros de Recolha Oficial de Animais de Companhia, 2025.</w:t>
      </w:r>
    </w:p>
    <w:p>
      <w:pPr>
        <w:spacing w:after="120"/>
      </w:pPr>
      <w:r>
        <w:rPr>
          <w:b w:val="0"/>
          <w:i w:val="0"/>
          <w:sz w:val="21"/>
        </w:rPr>
        <w:t>O enunciado é duplamente útil. Documenta, por fonte própria da DGAV, que há centros de recolha oficial a intervir sobre outras espécies; e documenta que essa atividade não é medida, porque os dados declarados pelos municípios são excluídos dos totais. A prática antecede, pois, o enquadramento.</w:t>
      </w:r>
    </w:p>
    <w:p>
      <w:pPr>
        <w:spacing w:before="240" w:after="80"/>
      </w:pPr>
      <w:r>
        <w:rPr>
          <w:b/>
          <w:color w:val="1F3B63"/>
          <w:sz w:val="22"/>
        </w:rPr>
        <w:t>4.8. O recinto multiespécie no projeto de RGAC</w:t>
      </w:r>
    </w:p>
    <w:p>
      <w:pPr>
        <w:spacing w:after="120"/>
      </w:pPr>
      <w:r>
        <w:rPr>
          <w:b w:val="0"/>
          <w:i w:val="0"/>
          <w:sz w:val="21"/>
        </w:rPr>
        <w:t>O projeto de RGAC prevê que os centros de recolha possam dispor de, pelo menos, um recinto multiespécie adequado a espécies pecuárias, cumprindo a legislação específica. A previsão é coerente com a base legal identificada no ponto 4.5 e com a série de Avisos do ponto 4.6, e é o lugar próprio para a matéria.</w:t>
      </w:r>
    </w:p>
    <w:p>
      <w:pPr>
        <w:spacing w:before="240" w:after="80"/>
      </w:pPr>
      <w:r>
        <w:rPr>
          <w:b/>
          <w:color w:val="1F3B63"/>
          <w:sz w:val="22"/>
        </w:rPr>
        <w:t>4.9. Os modelos europeus</w:t>
      </w:r>
    </w:p>
    <w:p>
      <w:pPr>
        <w:spacing w:after="120"/>
      </w:pPr>
      <w:r>
        <w:rPr>
          <w:b w:val="0"/>
          <w:i w:val="0"/>
          <w:sz w:val="21"/>
        </w:rPr>
        <w:t>Três modelos, quanto à relação entre a instalação destinada a animais de companhia e o alojamento de animais de espécie pecuária encontrados sem detentor.</w:t>
      </w:r>
    </w:p>
    <w:p>
      <w:pPr>
        <w:pStyle w:val="ListBullet"/>
        <w:spacing w:after="60"/>
        <w:jc w:val="both"/>
      </w:pPr>
      <w:r>
        <w:rPr>
          <w:sz w:val="21"/>
        </w:rPr>
        <w:t>Modelo dualista, em França, Espanha e Itália ao nível nacional. Duas figuras jurídicas distintas, uma para os animais de companhia e outra para o gado. Em França, a «fourrière» dos art.ºs L211-24 e seguintes do Code rural et de la pêche maritime cobre cães e gatos, e o gado tem a figura autónoma do «lieu de dépôt». Em Espanha, a al. b) do n.º 3 do art.º 1.º da Ley 7/2023 exclui expressamente do seu âmbito os animais de produção, que ficam sob o regime das «reses mostrencas».</w:t>
      </w:r>
    </w:p>
    <w:p>
      <w:pPr>
        <w:pStyle w:val="ListBullet"/>
        <w:spacing w:after="60"/>
        <w:jc w:val="both"/>
      </w:pPr>
      <w:r>
        <w:rPr>
          <w:sz w:val="21"/>
        </w:rPr>
        <w:t>Modelo unitário espécie-neutro, nos Países Baixos e na Bélgica. Há uma só obrigação de recolha e guarda, redigida para «um animal», qualquer que seja a espécie, com encaminhamento diferenciado na execução. O lid 3 do art.º 5:8 do Burgerlijk Wetboek neerlandês dispõe que «Indien een dier wordt gevonden» — se for encontrado um animal — o burgomestre é competente, decorridas duas semanas, para o transmitir a terceiro. A doutrina administrativa municipal confirma que o dever de acolhimento não se limita a cães e gatos e abrange todos os animais detidos.</w:t>
      </w:r>
    </w:p>
    <w:p>
      <w:pPr>
        <w:pStyle w:val="ListBullet"/>
        <w:spacing w:after="60"/>
        <w:jc w:val="both"/>
      </w:pPr>
      <w:r>
        <w:rPr>
          <w:sz w:val="21"/>
        </w:rPr>
        <w:t>Modelo intermédio, no nível regional italiano. A Lei Regional da Calábria n.º 45, de 3 de outubro de 2023, é o único diploma identificado que positiva a instalação de companhia aberta a outras espécies com padrão de separação. A al. b) do n.º 2 do seu art.º 28.º admite no canil sanitário «altri animali rinvenuti senza proprietario […] compatibilmente con la recettività e le caratteristiche della struttura»; a al. c) do n.º 1 do art.º 29.º exige que, «in caso di ricovero di specie diverse tra loro incompatibili», sejam usados meios que impeçam que os animais «possano vedersi, annusarsi o udirsi reciprocamente»; e o art.º 32.º admite a coexistência de estruturas diversas «purché siano separate, fisicamente e funzionalmente», com «uso in comune delle strutture di servizio e sanitarie».</w:t>
      </w:r>
    </w:p>
    <w:p>
      <w:pPr>
        <w:spacing w:after="120"/>
      </w:pPr>
      <w:r>
        <w:rPr>
          <w:b w:val="0"/>
          <w:i w:val="0"/>
          <w:color w:val="555555"/>
          <w:sz w:val="19"/>
        </w:rPr>
        <w:t>Duas notas de delimitação, para que o argumento comparado não seja sobre-estendido. Primeira: nenhum dos ordenamentos analisados impõe uma instalação multiespécie, pelo que a solução portuguesa, se avançar, é inovadora e não transposta. Segunda: o diploma calabrês define «animale d'affezione» como o animal detido «senza fini produttivi o alimentari», pelo que o gado permanece formalmente fora do seu âmbito; a abertura do art.º 28.º tem finalidade de profilaxia antirrábica.</w:t>
      </w:r>
    </w:p>
    <w:p>
      <w:pPr>
        <w:spacing w:after="120"/>
      </w:pPr>
      <w:r>
        <w:rPr>
          <w:b w:val="0"/>
          <w:i w:val="0"/>
          <w:sz w:val="21"/>
        </w:rPr>
        <w:t>Nas Ilhas Britânicas há duas peças de interesse direto, uma de modelo e outra de advertência.</w:t>
      </w:r>
    </w:p>
    <w:p>
      <w:pPr>
        <w:spacing w:after="120"/>
      </w:pPr>
      <w:r>
        <w:rPr>
          <w:b w:val="0"/>
          <w:i w:val="0"/>
          <w:sz w:val="21"/>
        </w:rPr>
        <w:t>A peça de modelo é galesa. O Code of Best Practice for Animal Welfare Establishments, do Governo do País de Gales, de 2020, é o único documento oficial identificado que inclui no seu âmbito as instalações municipais de recolha de animais errantes e as trata como instalações multiespécie. O âmbito declarado abrange «rehabilitation centres, rescue centres, and stray animal facilities (local authority or contractor)» e a definição é a seguinte:</w:t>
      </w:r>
    </w:p>
    <w:p>
      <w:pPr>
        <w:spacing w:after="40"/>
        <w:ind w:left="454" w:right="227"/>
      </w:pPr>
      <w:r>
        <w:rPr>
          <w:i/>
          <w:sz w:val="19"/>
        </w:rPr>
        <w:t>«A person, organisation or establishment who holds themselves out to receive vulnerable animals on a regular basis, whether companion, farmed, wild, protected or other animals, with a view to rehabilitating and either rehoming or releasing (back to the wild), or providing long-term care.»</w:t>
      </w:r>
    </w:p>
    <w:p>
      <w:pPr>
        <w:spacing w:after="160"/>
        <w:ind w:left="454"/>
      </w:pPr>
      <w:r>
        <w:rPr>
          <w:color w:val="555555"/>
          <w:sz w:val="17"/>
        </w:rPr>
        <w:t>Code of Best Practice for Animal Welfare Establishments, Welsh Government, 2020, definição de Animal Welfare Establishment.</w:t>
      </w:r>
    </w:p>
    <w:p>
      <w:pPr>
        <w:spacing w:after="120"/>
      </w:pPr>
      <w:r>
        <w:rPr>
          <w:b w:val="0"/>
          <w:i w:val="0"/>
          <w:sz w:val="21"/>
        </w:rPr>
        <w:t>O código fixa, para os recintos interiores e exteriores, o requisito de «Separation from other species if appropriate» e «Separation from other species as appropriate», prevê expressamente a coexistência de estábulos e canis na mesma instalação, e faz depender a lotação máxima dos recursos efetivos do estabelecimento, incluindo a necessidade de manter animais de espécies diferentes separados e fora da vista e do olfato dos restantes. É o molde técnico mais completo encontrado.</w:t>
      </w:r>
    </w:p>
    <w:p>
      <w:pPr>
        <w:spacing w:after="120"/>
      </w:pPr>
      <w:r>
        <w:rPr>
          <w:b w:val="0"/>
          <w:i w:val="0"/>
          <w:sz w:val="21"/>
        </w:rPr>
        <w:t>A peça de advertência é irlandesa, e deve ser retida com igual atenção. O n.º 1 do art.º 2.º do Pounds (Provision and Maintenance) Act, 1935, impõe às autoridades locais o dever de prover instalação, com certificação prévia de adequação por entidade externa ao município. A instalação é multiespécie por definição legal. Sucede que o poder de fixar padrões técnicos, previsto na al. h) do n.º 3 do art.º 5.º do Animals Act, 1985, nunca foi exercido, e a revisão governamental de 2017 concluiu que as instalações, sobretudo as privadas com fim lucrativo, estão «inadequately regulated».</w:t>
      </w:r>
    </w:p>
    <w:p>
      <w:pPr>
        <w:spacing w:after="120"/>
      </w:pPr>
      <w:r>
        <w:rPr>
          <w:b w:val="0"/>
          <w:i w:val="0"/>
          <w:sz w:val="21"/>
        </w:rPr>
        <w:t>A conclusão a extrair da comparação não é, por isso, que a instalação multiespécie seja boa ou má em si. É que a figura sem norma técnica produz maus-tratos, e que a norma técnica é precisamente o contributo que esta área tem para dar. O caso irlandês mostra também o inverso quando o investimento é feito a montante: segundo os dados abertos do Department of Agriculture, Food and the Marine, as occisões de equídeos apreendidos passaram de 4 231, em 2014, para 14, em 2022, e a proporção de animais realojados subiu de cerca de 10 % para 76 %.</w:t>
      </w:r>
    </w:p>
    <w:p>
      <w:pPr>
        <w:spacing w:after="120"/>
      </w:pPr>
      <w:r>
        <w:rPr>
          <w:b w:val="0"/>
          <w:i w:val="0"/>
          <w:color w:val="555555"/>
          <w:sz w:val="19"/>
        </w:rPr>
        <w:t>Reserva quanto a estes números: provêm do conjunto de dados aberto A0020 do Department of Agriculture, Food and the Marine, com uma divergência não explicada, no ano de 2019, entre a ficha do próprio departamento, que indica 885 apreensões, e o conjunto de dados, que indica 1 050. Os valores posteriores a 2022 não foram confirmados.</w:t>
      </w:r>
    </w:p>
    <w:p>
      <w:pPr>
        <w:spacing w:before="240" w:after="80"/>
      </w:pPr>
      <w:r>
        <w:rPr>
          <w:b/>
          <w:color w:val="1F3B63"/>
          <w:sz w:val="22"/>
        </w:rPr>
        <w:t>4.10. Fontes do ponto 04</w:t>
      </w:r>
    </w:p>
    <w:p>
      <w:pPr>
        <w:pStyle w:val="ListBullet"/>
        <w:spacing w:after="60"/>
        <w:jc w:val="both"/>
      </w:pPr>
      <w:r>
        <w:rPr>
          <w:sz w:val="21"/>
        </w:rPr>
        <w:t>Projeto: art.ºs 48.º, al. c), 54.º, 55.º, 57.º, 58.º e 59.º do anexo; estrutura do Título II; ficha de avaliação legislativa, quadro das audições obrigatórias.</w:t>
      </w:r>
    </w:p>
    <w:p>
      <w:pPr>
        <w:pStyle w:val="ListBullet"/>
        <w:spacing w:after="60"/>
        <w:jc w:val="both"/>
      </w:pPr>
      <w:r>
        <w:rPr>
          <w:sz w:val="21"/>
        </w:rPr>
        <w:t>Decreto-Lei n.º 276/2001 — art.ºs 2.º, n.º 1, als. c) e t), 3.º, n.º 1, al. a), e 19.º.</w:t>
      </w:r>
    </w:p>
    <w:p>
      <w:pPr>
        <w:pStyle w:val="ListBullet"/>
        <w:spacing w:after="60"/>
        <w:jc w:val="both"/>
      </w:pPr>
      <w:r>
        <w:rPr>
          <w:sz w:val="21"/>
        </w:rPr>
        <w:t>Decreto-Lei n.º 314/2003 — art.ºs 2.º, al. n), 8.º, 9.º, 10.º, 11.º e 12.º.</w:t>
      </w:r>
    </w:p>
    <w:p>
      <w:pPr>
        <w:pStyle w:val="ListBullet"/>
        <w:spacing w:after="60"/>
        <w:jc w:val="both"/>
      </w:pPr>
      <w:r>
        <w:rPr>
          <w:sz w:val="21"/>
        </w:rPr>
        <w:t>Lei n.º 27/2016 — art.ºs 1.º a 5.º, em especial o n.º 1 do art.º 3.º e os n.ºs 9 e 10 do mesmo artigo.</w:t>
      </w:r>
    </w:p>
    <w:p>
      <w:pPr>
        <w:pStyle w:val="ListBullet"/>
        <w:spacing w:after="60"/>
        <w:jc w:val="both"/>
      </w:pPr>
      <w:r>
        <w:rPr>
          <w:sz w:val="21"/>
        </w:rPr>
        <w:t>Portaria n.º 146/2017 — normas técnicas dos programas de captura, esterilização e devolução.</w:t>
      </w:r>
    </w:p>
    <w:p>
      <w:pPr>
        <w:pStyle w:val="ListBullet"/>
        <w:spacing w:after="60"/>
        <w:jc w:val="both"/>
      </w:pPr>
      <w:r>
        <w:rPr>
          <w:sz w:val="21"/>
        </w:rPr>
        <w:t>Código Civil, art.º 1323.º, na redação da Lei n.º 8/2017 — regime do animal achado, aplicável a qualquer espécie.</w:t>
      </w:r>
    </w:p>
    <w:p>
      <w:pPr>
        <w:pStyle w:val="ListBullet"/>
        <w:spacing w:after="60"/>
        <w:jc w:val="both"/>
      </w:pPr>
      <w:r>
        <w:rPr>
          <w:sz w:val="21"/>
        </w:rPr>
        <w:t>Código da Estrada, art.º 92.º — condução de animais na via pública. A norma que sanciona o proprietário que deixe o animal vaguear não foi confirmada quanto ao número do artigo.</w:t>
      </w:r>
    </w:p>
    <w:p>
      <w:pPr>
        <w:pStyle w:val="ListBullet"/>
        <w:spacing w:after="60"/>
        <w:jc w:val="both"/>
      </w:pPr>
      <w:r>
        <w:rPr>
          <w:sz w:val="21"/>
        </w:rPr>
        <w:t>Portaria n.º 1112/2009 — Rede Nacional de Centros de Recuperação de Fauna, coordenada pelo ICNF em articulação com a DGAV, para animais selvagens.</w:t>
      </w:r>
    </w:p>
    <w:p>
      <w:pPr>
        <w:pStyle w:val="ListBullet"/>
        <w:spacing w:after="60"/>
        <w:jc w:val="both"/>
      </w:pPr>
      <w:r>
        <w:rPr>
          <w:sz w:val="21"/>
        </w:rPr>
        <w:t>Projeto de RGAC — artigo relativo aos centros de recolha, quanto ao recinto multiespécie. Trabalho em curso, citado como tal.</w:t>
      </w:r>
    </w:p>
    <w:p>
      <w:pPr>
        <w:pStyle w:val="ListBullet"/>
        <w:spacing w:after="60"/>
        <w:jc w:val="both"/>
      </w:pPr>
      <w:r>
        <w:rPr>
          <w:sz w:val="21"/>
        </w:rPr>
        <w:t>Despacho n.º 3321/2018, publicado no Diário da República, 2.ª série, n.º 66, de 4 de abril de 2018 — programa de apoio à construção e modernização de centros de recolha oficial; anexo «Valores de referência e limites».</w:t>
      </w:r>
    </w:p>
    <w:p>
      <w:pPr>
        <w:pStyle w:val="ListBullet"/>
        <w:spacing w:after="60"/>
        <w:jc w:val="both"/>
      </w:pPr>
      <w:r>
        <w:rPr>
          <w:sz w:val="21"/>
        </w:rPr>
        <w:t>Avisos n.ºs 1/2021, 1/2022 e 1/2023 do ICNF-DBEAC e n.ºs 1/2025 e 1/2026 da DGAV-DBEA — requisitos mínimos de construção e tabelas de apoio. Os Avisos de 2020 e 2024 não foram consultados.</w:t>
      </w:r>
    </w:p>
    <w:p>
      <w:pPr>
        <w:pStyle w:val="ListBullet"/>
        <w:spacing w:after="60"/>
        <w:jc w:val="both"/>
      </w:pPr>
      <w:r>
        <w:rPr>
          <w:sz w:val="21"/>
        </w:rPr>
        <w:t>Documento da Direção-Geral de Veterinária n.º 01/DSSPA/M//2010, de dezembro de 2010 — requisitos dos centros de recolha; origem da expressão «sala multiespécie».</w:t>
      </w:r>
    </w:p>
    <w:p>
      <w:pPr>
        <w:pStyle w:val="ListBullet"/>
        <w:spacing w:after="60"/>
        <w:jc w:val="both"/>
      </w:pPr>
      <w:r>
        <w:rPr>
          <w:sz w:val="21"/>
        </w:rPr>
        <w:t>DGAV, Relatório de Atividades dos Centros de Recolha Oficial de Animais de Companhia, 2025.</w:t>
      </w:r>
    </w:p>
    <w:p>
      <w:pPr>
        <w:pStyle w:val="ListBullet"/>
        <w:spacing w:after="60"/>
        <w:jc w:val="both"/>
      </w:pPr>
      <w:r>
        <w:rPr>
          <w:sz w:val="21"/>
        </w:rPr>
        <w:t>Code rural et de la pêche maritime (França), art.ºs L211-19-1 e L211-23 e seguintes; Ley 7/2023, de 28 de marzo (Espanha), n.º 3 do art.º 1.º; Burgerlijk Wetboek (Países Baixos), art.º 5:8; Code wallon du Bien-être animal e Vlaamse Codex Dierenwelzijn (Bélgica); Legge 14 agosto 1991, n. 281, e Lei Regional da Calábria n.º 45, de 3 de outubro de 2023 (Itália), art.ºs 2.º, 28.º, 29.º e 32.º.</w:t>
      </w:r>
    </w:p>
    <w:p>
      <w:pPr>
        <w:pStyle w:val="ListBullet"/>
        <w:spacing w:after="60"/>
        <w:jc w:val="both"/>
      </w:pPr>
      <w:r>
        <w:rPr>
          <w:sz w:val="21"/>
        </w:rPr>
        <w:t>Animals Act 1971 (Inglaterra e País de Gales), art.º 7.º; Control of Horses (Wales) Act 2014; Code of Best Practice for Animal Welfare Establishments, Governo do País de Gales, 2020; Code of Practice for the Welfare of Horses, País de Gales, 2018.</w:t>
      </w:r>
    </w:p>
    <w:p>
      <w:pPr>
        <w:pStyle w:val="ListBullet"/>
        <w:spacing w:after="60"/>
        <w:jc w:val="both"/>
      </w:pPr>
      <w:r>
        <w:rPr>
          <w:sz w:val="21"/>
        </w:rPr>
        <w:t>Pounds (Provision and Maintenance) Act, 1935 (Irlanda), art.º 2.º; Animals Act, 1985, al. h) do n.º 3 do art.º 5.º; Control of Horses Act, 1996; conjunto de dados aberto A0020 do Department of Agriculture, Food and the Marine.</w:t>
      </w:r>
    </w:p>
    <w:p>
      <w:pPr>
        <w:pStyle w:val="ListBullet"/>
        <w:spacing w:after="60"/>
        <w:jc w:val="both"/>
      </w:pPr>
      <w:r>
        <w:rPr>
          <w:sz w:val="21"/>
        </w:rPr>
        <w:t>Projeto de Resolução n.º 82/XIV/1.ª — documenta a ausência de infraestrutura para fiel depositário de equídeos apreendidos e a exigência de registo como exploração pecuária para constituir santuário.</w:t>
      </w:r>
    </w:p>
    <w:p>
      <w:pPr>
        <w:pStyle w:val="ListBullet"/>
        <w:spacing w:after="60"/>
        <w:jc w:val="both"/>
      </w:pPr>
      <w:r>
        <w:rPr>
          <w:sz w:val="21"/>
        </w:rPr>
        <w:t>Resolução do Conselho de Ministros n.º 78/2021, de 25 de junho, e Estratégia Nacional para os Animais Errantes, do ICNF — ambas circunscritas aos animais de companhia.</w:t>
      </w:r>
    </w:p>
    <w:p>
      <w:pPr>
        <w:spacing w:before="360" w:after="120"/>
      </w:pPr>
      <w:r>
        <w:rPr>
          <w:b/>
          <w:color w:val="1F3B63"/>
          <w:sz w:val="26"/>
        </w:rPr>
        <w:t>Secção complementar — Venda em comércio não sedentário, feiras e leilões</w:t>
      </w:r>
    </w:p>
    <w:p>
      <w:pPr>
        <w:spacing w:before="240" w:after="80"/>
      </w:pPr>
      <w:r>
        <w:rPr>
          <w:b/>
          <w:color w:val="1F3B63"/>
          <w:sz w:val="22"/>
        </w:rPr>
        <w:t>C.1. A omissão dos animais vivos no elenco de proibições</w:t>
      </w:r>
    </w:p>
    <w:p>
      <w:pPr>
        <w:spacing w:after="120"/>
      </w:pPr>
      <w:r>
        <w:rPr>
          <w:b w:val="0"/>
          <w:i w:val="0"/>
          <w:sz w:val="21"/>
        </w:rPr>
        <w:t>A questão de partida era a omissão dos animais vivos no elenco de proibições do n.º 2 do art.º 133.º do anexo. A análise conclui que não houve decisão neste projeto nem regressão face ao regime vigente.</w:t>
      </w:r>
    </w:p>
    <w:p>
      <w:pPr>
        <w:pStyle w:val="ListBullet"/>
        <w:spacing w:after="60"/>
        <w:jc w:val="both"/>
      </w:pPr>
      <w:r>
        <w:rPr>
          <w:sz w:val="21"/>
        </w:rPr>
        <w:t>No ficheiro não há qualquer eliminação de texto relativa a animais no art.º 133.º, nem comentário ancorado ao artigo. A única alteração registada em todo o artigo é a eliminação da expressão «, na sua redação atual» na al. a) do n.º 2, em nome de Maria João Torres, com data de 1.9.2026.</w:t>
      </w:r>
    </w:p>
    <w:p>
      <w:pPr>
        <w:pStyle w:val="ListBullet"/>
        <w:spacing w:after="60"/>
        <w:jc w:val="both"/>
      </w:pPr>
      <w:r>
        <w:rPr>
          <w:sz w:val="21"/>
        </w:rPr>
        <w:t>O n.º 2 do art.º 133.º reproduz literalmente o n.º 2 do art.º 75.º do Decreto-Lei n.º 10/2015, de 16 de janeiro: as mesmas sete alíneas, na mesma ordem e com a mesma redação. A omissão é herdada de 2015.</w:t>
      </w:r>
    </w:p>
    <w:p>
      <w:pPr>
        <w:pStyle w:val="ListBullet"/>
        <w:spacing w:after="60"/>
        <w:jc w:val="both"/>
      </w:pPr>
      <w:r>
        <w:rPr>
          <w:sz w:val="21"/>
        </w:rPr>
        <w:t>Em 2015 a matéria já tinha sede própria. O n.º 6 do art.º 35.º do Decreto-Lei n.º 276/2001, na redação do Decreto-Lei n.º 315/2003, de 17 de dezembro, dispõe que «não é permitida a venda ambulante de animais de companhia», no mesmo artigo que fixa as condições da venda em feiras e mercados.</w:t>
      </w:r>
    </w:p>
    <w:p>
      <w:pPr>
        <w:pStyle w:val="ListBullet"/>
        <w:spacing w:after="60"/>
        <w:jc w:val="both"/>
      </w:pPr>
      <w:r>
        <w:rPr>
          <w:sz w:val="21"/>
        </w:rPr>
        <w:t>O critério do elenco é coerente: fitofarmacêuticos, medicamentos, aditivos para alimentação animal, armas e explosivos, combustíveis, moedas e notas e veículos são produtos cuja venda fora de estabelecimento envolve risco de segurança ou de saúde pública. O animal não é um produto e o fundamento da proibição é o bem-estar, matéria de outro diploma.</w:t>
      </w:r>
    </w:p>
    <w:p>
      <w:pPr>
        <w:spacing w:before="240" w:after="80"/>
      </w:pPr>
      <w:r>
        <w:rPr>
          <w:b/>
          <w:color w:val="1F3B63"/>
          <w:sz w:val="22"/>
        </w:rPr>
        <w:t>C.2. Os leilões de animais</w:t>
      </w:r>
    </w:p>
    <w:p>
      <w:pPr>
        <w:spacing w:after="120"/>
      </w:pPr>
      <w:r>
        <w:rPr>
          <w:b w:val="0"/>
          <w:i w:val="0"/>
          <w:sz w:val="21"/>
        </w:rPr>
        <w:t>O n.º 1 do art.º 153.º do anexo define a atividade leiloeira como a venda «de bens móveis e imóveis, corpóreos e incorpóreos ou de animais», sujeita a comunicação prévia, com a DGDCCS como entidade coordenadora e sem requisito algum de identificação, registo ou informação ao adquirente. A pesquisa das expressões «leilão» e «leiloeira» no Decreto-Lei n.º 276/2001 não devolve ocorrências: o leilão de animais de companhia não está regulado do lado do bem-estar. A partir de 31 de agosto de 2030 o n.º 3 do art.º 21.º do Regulamento (UE) 2026/1818 obriga quem coloca um cão ou gato no mercado a facultar ao adquirente prova da identificação e do registo, bem como a espécie, o sexo, a data e o país de nascimento e, se for o caso, a raça.</w:t>
      </w:r>
    </w:p>
    <w:p>
      <w:pPr>
        <w:spacing w:after="120"/>
      </w:pPr>
      <w:r>
        <w:rPr>
          <w:b w:val="0"/>
          <w:i w:val="0"/>
          <w:sz w:val="21"/>
        </w:rPr>
        <w:t>Verificação pendente: se os Decretos-Leis n.ºs 155/2015 e 160/2015, que este projeto revoga e que regulavam a atividade leiloeira e a prestamista, continham disposição sobre animais. Se continham, há regressão; se não, o vazio é antigo e apenas se consolida.</w:t>
      </w:r>
    </w:p>
    <w:p>
      <w:pPr>
        <w:spacing w:before="240" w:after="80"/>
      </w:pPr>
      <w:r>
        <w:rPr>
          <w:b/>
          <w:color w:val="1F3B63"/>
          <w:sz w:val="22"/>
        </w:rPr>
        <w:t>C.3. A remissão do projeto de RGAC para o Decreto-Lei n.º 10/2015</w:t>
      </w:r>
    </w:p>
    <w:p>
      <w:pPr>
        <w:spacing w:after="120"/>
      </w:pPr>
      <w:r>
        <w:rPr>
          <w:b w:val="0"/>
          <w:i w:val="0"/>
          <w:sz w:val="21"/>
        </w:rPr>
        <w:t>O n.º 2 do art.º 11.º do projeto de RGAC vai além da lei vigente, ao proibir a transmissão de animais de companhia «fora dos locais autorizados para o efeito, nomeadamente na via pública ou no âmbito da atividade de comércio a retalho não sedentária, designadamente em feiras, mercados ou de modo ambulante, tal como definida no Decreto-Lei n.º 10/2015, de 16 de janeiro». A proibição é ancorada por remissão a um diploma que este projeto revoga. Se o RGAC for publicado nestes termos, nasce com remissão para norma revogada. É matéria a corrigir no nosso texto, e segue para o memorando de acompanhamento, não para a pronúncia.</w:t>
      </w:r>
    </w:p>
    <w:p>
      <w:pPr>
        <w:spacing w:before="240" w:after="80"/>
      </w:pPr>
      <w:r>
        <w:rPr>
          <w:b/>
          <w:color w:val="1F3B63"/>
          <w:sz w:val="22"/>
        </w:rPr>
        <w:t>C.4. Hipótese não confirmada</w:t>
      </w:r>
    </w:p>
    <w:p>
      <w:pPr>
        <w:spacing w:after="120"/>
      </w:pPr>
      <w:r>
        <w:rPr>
          <w:b w:val="0"/>
          <w:i w:val="0"/>
          <w:sz w:val="21"/>
        </w:rPr>
        <w:t>Antes do Decreto-Lei n.º 10/2015, a venda ambulante regia-se pelo Decreto-Lei n.º 122/79, de 8 de maio, cujo art.º 7.º não enumerava os produtos no corpo da lei, remetendo para lista anexa alterável por despacho. Há indicação de que essa lista, e os regulamentos municipais que nela se apoiavam, abrangiam aves e outros animais de criação. Sendo assim, o elenco de 2015 poderá ter deixado cair a proibição quanto às espécies pecuárias, que o Decreto-Lei n.º 276/2001 não alcança por excluir do seu âmbito «as espécies de pecuária». Não foi possível confirmar: o acesso à fonte foi recusado com erro 403. A confirmar-se, o tema ligar-se-ia ao ponto 02 e justificaria a sua reabertura.</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