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Legislação Portuguesa sobre Animais de Companhia</w:t>
      </w:r>
    </w:p>
    <w:p>
      <w:pPr>
        <w:jc w:val="center"/>
      </w:pPr>
      <w:r>
        <w:rPr>
          <w:i/>
          <w:sz w:val="22"/>
        </w:rPr>
        <w:t>Inventário de legislação vigente relevante para implementação de @regulamento, @codigo e @rgbeac</w:t>
      </w:r>
    </w:p>
    <w:p/>
    <w:p>
      <w:pPr>
        <w:pStyle w:val="Heading1"/>
      </w:pPr>
      <w:r>
        <w:rPr>
          <w:color w:val="003366"/>
        </w:rPr>
        <w:t>LEGISLAÇÃO DIRETAMENTE RELACIONADA</w:t>
      </w:r>
    </w:p>
    <w:p>
      <w:pPr>
        <w:pStyle w:val="ListNumber"/>
      </w:pPr>
      <w:r>
        <w:rPr>
          <w:b/>
        </w:rPr>
        <w:t xml:space="preserve">Lei nº 92/95, de 12 de setembro — </w:t>
      </w:r>
      <w:r>
        <w:t>Proteção geral de animais; princípios fundamentais de bem-estar</w:t>
      </w:r>
    </w:p>
    <w:p>
      <w:pPr>
        <w:pStyle w:val="ListNumber"/>
      </w:pPr>
      <w:r>
        <w:rPr>
          <w:b/>
        </w:rPr>
        <w:t xml:space="preserve">Lei nº 8/2017, de 3 de março — </w:t>
      </w:r>
      <w:r>
        <w:t>Reconhecimento do estatuto jurídico dos animais; modificação de Código Civil e Código Penal</w:t>
      </w:r>
    </w:p>
    <w:p>
      <w:pPr>
        <w:pStyle w:val="ListNumber"/>
      </w:pPr>
      <w:r>
        <w:rPr>
          <w:b/>
        </w:rPr>
        <w:t xml:space="preserve">Lei nº 27/2016, de 23 de agosto — </w:t>
      </w:r>
      <w:r>
        <w:t>Criação de rede de centros de recolha oficial; proibição do abate de animais errantes</w:t>
      </w:r>
    </w:p>
    <w:p>
      <w:pPr>
        <w:pStyle w:val="ListNumber"/>
      </w:pPr>
      <w:r>
        <w:rPr>
          <w:b/>
        </w:rPr>
        <w:t xml:space="preserve">Lei nº 69/2014, de 29 de outubro — </w:t>
      </w:r>
      <w:r>
        <w:t>Criminalização de maus-tratos a animais de companhia</w:t>
      </w:r>
    </w:p>
    <w:p>
      <w:pPr>
        <w:pStyle w:val="ListNumber"/>
      </w:pPr>
      <w:r>
        <w:rPr>
          <w:b/>
        </w:rPr>
        <w:t xml:space="preserve">Lei nº 20/2019, de 22 de fevereiro — </w:t>
      </w:r>
      <w:r>
        <w:t>Reforço da proteção de animais em circos; proibição de animais selvagens</w:t>
      </w:r>
    </w:p>
    <w:p>
      <w:pPr>
        <w:pStyle w:val="ListNumber"/>
      </w:pPr>
      <w:r>
        <w:rPr>
          <w:b/>
        </w:rPr>
        <w:t xml:space="preserve">Decreto-Lei nº 276/2001, de 17 de outubro — </w:t>
      </w:r>
      <w:r>
        <w:t>Implementação da Convenção Europeia de Proteção de Animais de Companhia; regime de animais potencialmente perigosos</w:t>
      </w:r>
    </w:p>
    <w:p>
      <w:pPr>
        <w:pStyle w:val="ListNumber"/>
      </w:pPr>
      <w:r>
        <w:rPr>
          <w:b/>
        </w:rPr>
        <w:t xml:space="preserve">Decreto-Lei nº 314/2003, de 17 de dezembro — </w:t>
      </w:r>
      <w:r>
        <w:t>Programa Nacional de Luta contra Raiva e Zoonoses; regras de posse, comércio e entradas em território nacional</w:t>
      </w:r>
    </w:p>
    <w:p>
      <w:pPr>
        <w:pStyle w:val="ListNumber"/>
      </w:pPr>
      <w:r>
        <w:rPr>
          <w:b/>
        </w:rPr>
        <w:t xml:space="preserve">Decreto-Lei nº 315/2009, de 29 de outubro — </w:t>
      </w:r>
      <w:r>
        <w:t>Regime jurídico de detenção de animais perigosos e potencialmente perigosos como animais de companhia</w:t>
      </w:r>
    </w:p>
    <w:p>
      <w:pPr>
        <w:pStyle w:val="ListNumber"/>
      </w:pPr>
      <w:r>
        <w:rPr>
          <w:b/>
        </w:rPr>
        <w:t xml:space="preserve">Decreto-Lei nº 82/2019, de 27 de junho — </w:t>
      </w:r>
      <w:r>
        <w:t>Identificação de animais de companhia; criação do Sistema de Informação de Animais de Companhia (SIAC)</w:t>
      </w:r>
    </w:p>
    <w:p>
      <w:pPr>
        <w:pStyle w:val="ListNumber"/>
      </w:pPr>
      <w:r>
        <w:rPr>
          <w:b/>
        </w:rPr>
        <w:t xml:space="preserve">Decreto-Lei nº 265/2007, de 24 de julho — </w:t>
      </w:r>
      <w:r>
        <w:t>Transporte rodoviário de animais vivos; bem-estar durante transporte</w:t>
      </w:r>
    </w:p>
    <w:p>
      <w:pPr>
        <w:pStyle w:val="ListNumber"/>
      </w:pPr>
      <w:r>
        <w:rPr>
          <w:b/>
        </w:rPr>
        <w:t xml:space="preserve">Decreto-Lei nº 74/2007, de 27 de março — </w:t>
      </w:r>
      <w:r>
        <w:t>Direito de acesso de pessoas com deficiência acompanhadas de cães de assistência a locais públicos</w:t>
      </w:r>
    </w:p>
    <w:p>
      <w:pPr>
        <w:pStyle w:val="ListNumber"/>
      </w:pPr>
      <w:r>
        <w:rPr>
          <w:b/>
        </w:rPr>
        <w:t xml:space="preserve">Portaria nº 264/2013, de 16 de agosto — </w:t>
      </w:r>
      <w:r>
        <w:t>Normas técnicas do Programa Nacional de Luta contra Raiva e Zoonoses</w:t>
      </w:r>
    </w:p>
    <w:p>
      <w:pPr>
        <w:pStyle w:val="ListNumber"/>
      </w:pPr>
      <w:r>
        <w:rPr>
          <w:b/>
        </w:rPr>
        <w:t xml:space="preserve">Portaria nº 422/2004, de 24 de abril — </w:t>
      </w:r>
      <w:r>
        <w:t>Identificação de raças de cães potencialmente perigosas</w:t>
      </w:r>
    </w:p>
    <w:p>
      <w:pPr>
        <w:pStyle w:val="ListNumber"/>
      </w:pPr>
      <w:r>
        <w:rPr>
          <w:b/>
        </w:rPr>
        <w:t xml:space="preserve">Portaria nº 146/2017, de 26 de abril — </w:t>
      </w:r>
      <w:r>
        <w:t>Funcionamento de centros de recolha oficial de animais errantes</w:t>
      </w:r>
    </w:p>
    <w:p>
      <w:pPr>
        <w:pStyle w:val="ListNumber"/>
      </w:pPr>
      <w:r>
        <w:rPr>
          <w:b/>
        </w:rPr>
        <w:t xml:space="preserve">Portaria nº 968/2009, de 26 de agosto — </w:t>
      </w:r>
      <w:r>
        <w:t>Regras de transporte de animais em meios de transporte público</w:t>
      </w:r>
    </w:p>
    <w:p/>
    <w:p/>
    <w:p>
      <w:pPr>
        <w:pStyle w:val="Heading1"/>
      </w:pPr>
      <w:r>
        <w:rPr>
          <w:color w:val="666666"/>
        </w:rPr>
        <w:t>LEGISLAÇÃO INDIRETAMENTE RELACIONADA</w:t>
      </w:r>
    </w:p>
    <w:p>
      <w:pPr>
        <w:pStyle w:val="ListBullet"/>
      </w:pPr>
      <w:r>
        <w:rPr>
          <w:b/>
        </w:rPr>
        <w:t xml:space="preserve">Código Civil Português — </w:t>
      </w:r>
      <w:r>
        <w:t>Modificado por Lei 8/2017; responsabilidade civil de detentores; deveres de bem-estar</w:t>
      </w:r>
    </w:p>
    <w:p>
      <w:pPr>
        <w:pStyle w:val="ListBullet"/>
      </w:pPr>
      <w:r>
        <w:rPr>
          <w:b/>
        </w:rPr>
        <w:t xml:space="preserve">Código Penal Português (artigos 387-389) — </w:t>
      </w:r>
      <w:r>
        <w:t>Crimes contra animais de companhia; maus-tratos criminalizados</w:t>
      </w:r>
    </w:p>
    <w:p>
      <w:pPr>
        <w:pStyle w:val="ListBullet"/>
      </w:pPr>
      <w:r>
        <w:rPr>
          <w:b/>
        </w:rPr>
        <w:t xml:space="preserve">Lei nº 95/2017 — </w:t>
      </w:r>
      <w:r>
        <w:t>Regulação de comércio de animais de companhia</w:t>
      </w:r>
    </w:p>
    <w:p>
      <w:pPr>
        <w:pStyle w:val="ListBullet"/>
      </w:pPr>
      <w:r>
        <w:rPr>
          <w:b/>
        </w:rPr>
        <w:t xml:space="preserve">Decreto Regulamentar nº 3/2021 — </w:t>
      </w:r>
      <w:r>
        <w:t>Estatutos do Provedor do Animal (instituição de defesa)</w:t>
      </w:r>
    </w:p>
    <w:p>
      <w:pPr>
        <w:pStyle w:val="ListBullet"/>
      </w:pPr>
      <w:r>
        <w:rPr>
          <w:b/>
        </w:rPr>
        <w:t xml:space="preserve">Regulamento UE 2016/679 (GDPR) — </w:t>
      </w:r>
      <w:r>
        <w:t>Proteção de dados pessoais; aplicável ao registro SIAC e bases de dados de identificação</w:t>
      </w:r>
    </w:p>
    <w:p>
      <w:pPr>
        <w:pStyle w:val="ListBullet"/>
      </w:pPr>
      <w:r>
        <w:rPr>
          <w:b/>
        </w:rPr>
        <w:t xml:space="preserve">Lei do Consumidor Português — </w:t>
      </w:r>
      <w:r>
        <w:t>Aplicável a compra-venda e serviços veterinários relacionados com animais</w:t>
      </w:r>
    </w:p>
    <w:p/>
    <w:p/>
    <w:p>
      <w:pPr>
        <w:pStyle w:val="Heading2"/>
      </w:pPr>
      <w:r>
        <w:t>Contexto de Implementação</w:t>
      </w:r>
    </w:p>
    <w:p>
      <w:r>
        <w:rPr>
          <w:i/>
        </w:rPr>
        <w:t>A implementação do Regulamento Europeu 2023/0447 em Portugal requer ajustes na legislação nacional com base neste regime jurídico complexo de 15+ diplomas principais, muitos dos quais com remissões cruzadas e articulações que tornam o processo de harmonização simultaneamente longo e intrincado.</w:t>
      </w:r>
    </w:p>
    <w:p>
      <w:pPr>
        <w:jc w:val="right"/>
      </w:pPr>
      <w:r>
        <w:rPr>
          <w:color w:val="808080"/>
          <w:sz w:val="18"/>
        </w:rPr>
        <w:t>Compilado: 22 de março de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