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55555"/>
          <w:sz w:val="19"/>
        </w:rPr>
        <w:t>DIREÇÃO-GERAL DE ALIMENTAÇÃO E VETERINÁRIA</w:t>
      </w:r>
    </w:p>
    <w:p>
      <w:pPr>
        <w:spacing w:after="200"/>
      </w:pPr>
      <w:r>
        <w:rPr>
          <w:b w:val="0"/>
          <w:color w:val="555555"/>
          <w:sz w:val="19"/>
        </w:rPr>
        <w:t>Direção de Serviços de Bem-Estar Animal</w:t>
      </w:r>
    </w:p>
    <w:p>
      <w:r>
        <w:rPr>
          <w:b/>
          <w:color w:val="1F3B63"/>
          <w:sz w:val="32"/>
        </w:rPr>
        <w:t>AVALIAÇÃO DAS NOTAS À PROPOSTA OMV / ANVETEM</w:t>
      </w:r>
    </w:p>
    <w:p>
      <w:pPr>
        <w:spacing w:after="200"/>
      </w:pPr>
      <w:r>
        <w:rPr>
          <w:b w:val="0"/>
          <w:color w:val="555555"/>
          <w:sz w:val="19"/>
        </w:rPr>
        <w:t>Ficheiro anotado «Proposta de Procedimento Integrado_DGAV_OMV_ANVETE_261013_001303.pdf» (notas manuscritas sobre a v3.0, de 26.8.2026). Documento de trabalho, 14.10.2026. Complementa a «Análise da proposta OMV/ANVETEM» da mesma data.</w:t>
      </w:r>
    </w:p>
    <w:p>
      <w:pPr>
        <w:keepNext/>
        <w:spacing w:before="280" w:after="120"/>
      </w:pPr>
      <w:r>
        <w:rPr>
          <w:b/>
          <w:color w:val="1F3B63"/>
          <w:sz w:val="27"/>
        </w:rPr>
        <w:t>1. Síntese</w:t>
      </w:r>
    </w:p>
    <w:p>
      <w:pPr>
        <w:spacing w:after="120"/>
      </w:pPr>
      <w:r>
        <w:rPr>
          <w:b w:val="0"/>
          <w:sz w:val="21"/>
        </w:rPr>
        <w:t>Foram transcritas 45 notas. 41 são válidas e 4 são válidas em parte; nenhuma é infundada. Quanto à análise de 14.10.2026: 10 já lá estavam, 19 estavam em parte e 16 são novas.</w:t>
      </w:r>
    </w:p>
    <w:p>
      <w:pPr>
        <w:spacing w:after="120"/>
      </w:pPr>
      <w:r>
        <w:rPr>
          <w:b w:val="0"/>
          <w:sz w:val="21"/>
        </w:rPr>
        <w:t>As notas novas mais importantes, por ordem de peso:</w:t>
      </w:r>
    </w:p>
    <w:p>
      <w:pPr>
        <w:pStyle w:val="ListBullet"/>
        <w:spacing w:after="60"/>
      </w:pPr>
      <w:r>
        <w:rPr>
          <w:b/>
        </w:rPr>
        <w:t xml:space="preserve">DL 315/2009: </w:t>
      </w:r>
      <w:r>
        <w:t>o DL 315/2009 tem regime próprio de recolha, apreensão, mandado e destino (cães que agridem, cães perigosos), e a análise não o tinha (nota 4);</w:t>
      </w:r>
    </w:p>
    <w:p>
      <w:pPr>
        <w:pStyle w:val="ListBullet"/>
        <w:spacing w:after="60"/>
      </w:pPr>
      <w:r>
        <w:rPr>
          <w:b/>
        </w:rPr>
        <w:t xml:space="preserve">OVPC: </w:t>
      </w:r>
      <w:r>
        <w:t>as organizações de voluntariado de proteção civil da LBPC e da Portaria 91/2017 são o canal legal para as associações no socorro, em vez de uma credenciação da DGAV (nota 15);</w:t>
      </w:r>
    </w:p>
    <w:p>
      <w:pPr>
        <w:pStyle w:val="ListBullet"/>
        <w:spacing w:after="60"/>
      </w:pPr>
      <w:r>
        <w:rPr>
          <w:b/>
        </w:rPr>
        <w:t xml:space="preserve">Terminologia: </w:t>
      </w:r>
      <w:r>
        <w:t>«resgate» não é termo legal; a lei diz «recolha», «captura», «apreensão» e «busca, salvamento e socorro» (notas 1, 10 e 13);</w:t>
      </w:r>
    </w:p>
    <w:p>
      <w:pPr>
        <w:pStyle w:val="ListBullet"/>
        <w:spacing w:after="60"/>
      </w:pPr>
      <w:r>
        <w:rPr>
          <w:b/>
        </w:rPr>
        <w:t xml:space="preserve">Âmbito do DL 276/2001: </w:t>
      </w:r>
      <w:r>
        <w:t>o DL 276/2001 exclui as espécies de pecuária, pelo que a remissão para a sua al. x) não serve as tipologias B e C (nota 21);</w:t>
      </w:r>
    </w:p>
    <w:p>
      <w:pPr>
        <w:pStyle w:val="ListBullet"/>
        <w:spacing w:after="60"/>
      </w:pPr>
      <w:r>
        <w:rPr>
          <w:b/>
        </w:rPr>
        <w:t xml:space="preserve">Socorro: </w:t>
      </w:r>
      <w:r>
        <w:t>mandado prévio e observação individual antes da saída não cabem no socorro (notas 20 e 30); a comunicação prévia e o relatório à comissão municipal não têm base na Lei 38/2026 (notas 19 e 42);</w:t>
      </w:r>
    </w:p>
    <w:p>
      <w:pPr>
        <w:pStyle w:val="ListBullet"/>
        <w:spacing w:after="60"/>
      </w:pPr>
      <w:r>
        <w:rPr>
          <w:b/>
        </w:rPr>
        <w:t xml:space="preserve">Outras: </w:t>
      </w:r>
      <w:r>
        <w:t>o médico veterinário contratado pelo município fica de fora (nota 26); o transporte de animais de companhia retirados não segue o regime do transportador autorizado (nota 38).</w:t>
      </w:r>
    </w:p>
    <w:p>
      <w:pPr>
        <w:keepNext/>
        <w:spacing w:before="280" w:after="120"/>
      </w:pPr>
      <w:r>
        <w:rPr>
          <w:b/>
          <w:color w:val="1F3B63"/>
          <w:sz w:val="27"/>
        </w:rPr>
        <w:t>2. O que as notas corrigem na análise de 14.10.2026</w:t>
      </w:r>
    </w:p>
    <w:p>
      <w:pPr>
        <w:pStyle w:val="ListBullet"/>
        <w:spacing w:after="60"/>
      </w:pPr>
      <w:r>
        <w:t>Omissão do DL 315/2009 no quadro das vias legais (4.2). Corrigido na análise: nova via V7.</w:t>
      </w:r>
    </w:p>
    <w:p>
      <w:pPr>
        <w:pStyle w:val="ListBullet"/>
        <w:spacing w:after="60"/>
      </w:pPr>
      <w:r>
        <w:t>Na via V5 (DL 314/2003), o destino dos animais recolhidos é decidido pelo MVM, após exame clínico, com permanência mínima de oito dias (DL 314/2003, art. 9.º, n.º 1). A análise dizia «regime do CRO». Corrigido.</w:t>
      </w:r>
    </w:p>
    <w:p>
      <w:pPr>
        <w:pStyle w:val="ListBullet"/>
        <w:spacing w:after="60"/>
      </w:pPr>
      <w:r>
        <w:t>O «retorno ao local de origem» que a análise criticou no projeto de RGAC (art. 139.º, n.º 8) já existe na lei vigente, no DL 315/2009, art. 39.º, n.º 8. E esse artigo já remete a apreensão para o RJCE (n.º 1), o que o RGAC deixa cair. A ficha S-02 do memorando do RGAC foi completada com isto.</w:t>
      </w:r>
    </w:p>
    <w:p>
      <w:pPr>
        <w:spacing w:after="120"/>
      </w:pPr>
      <w:r>
        <w:rPr>
          <w:b w:val="0"/>
          <w:sz w:val="21"/>
        </w:rPr>
        <w:t>Todas as notas foram integradas na versão 2 da análise («Analise_Proposta_OMV_ANVETEM_Retirada_e_Socorro_v2.docx»), cujo Anexo III indica onde ficou cada uma.</w:t>
      </w:r>
    </w:p>
    <w:p>
      <w:pPr>
        <w:keepNext/>
        <w:spacing w:before="280" w:after="120"/>
      </w:pPr>
      <w:r>
        <w:rPr>
          <w:b/>
          <w:color w:val="1F3B63"/>
          <w:sz w:val="27"/>
        </w:rPr>
        <w:t>3. Quadro das notas</w:t>
      </w:r>
    </w:p>
    <w:p>
      <w:pPr>
        <w:spacing w:after="120"/>
      </w:pPr>
      <w:r>
        <w:rPr>
          <w:b w:val="0"/>
          <w:color w:val="555555"/>
          <w:sz w:val="19"/>
        </w:rPr>
        <w:t>Colunas: «Válida?» (Sim, Em parte, Não); «Já na análise?» (Sim, Parcial, Não), com a secção da análise de 14.10.2026 indicada no fundamento. As leituras da caligrafia que ficaram incertas estão assinaladas.</w:t>
      </w:r>
    </w:p>
    <w:tbl>
      <w:tblPr>
        <w:tblStyle w:val="TableGrid"/>
        <w:tblW w:type="auto" w:w="0"/>
        <w:jc w:val="center"/>
        <w:tblLayout w:type="fixed"/>
        <w:tblLook w:firstColumn="1" w:firstRow="1" w:lastColumn="0" w:lastRow="0" w:noHBand="0" w:noVBand="1" w:val="04A0"/>
      </w:tblPr>
      <w:tblGrid>
        <w:gridCol w:w="510"/>
        <w:gridCol w:w="1474"/>
        <w:gridCol w:w="2948"/>
        <w:gridCol w:w="907"/>
        <w:gridCol w:w="1077"/>
        <w:gridCol w:w="7880"/>
      </w:tblGrid>
      <w:tr>
        <w:trPr>
          <w:tblHeader w:val="true"/>
        </w:trPr>
        <w:tc>
          <w:tcPr>
            <w:tcW w:type="dxa" w:w="510"/>
          </w:tcPr>
          <w:p>
            <w:r/>
            <w:r>
              <w:rPr>
                <w:b/>
                <w:color w:val="1F3B63"/>
                <w:sz w:val="18"/>
              </w:rPr>
              <w:t>N.º</w:t>
            </w:r>
          </w:p>
        </w:tc>
        <w:tc>
          <w:tcPr>
            <w:tcW w:type="dxa" w:w="1474"/>
          </w:tcPr>
          <w:p>
            <w:r/>
            <w:r>
              <w:rPr>
                <w:b/>
                <w:color w:val="1F3B63"/>
                <w:sz w:val="18"/>
              </w:rPr>
              <w:t>Página e ponto</w:t>
            </w:r>
          </w:p>
        </w:tc>
        <w:tc>
          <w:tcPr>
            <w:tcW w:type="dxa" w:w="2948"/>
          </w:tcPr>
          <w:p>
            <w:r/>
            <w:r>
              <w:rPr>
                <w:b/>
                <w:color w:val="1F3B63"/>
                <w:sz w:val="18"/>
              </w:rPr>
              <w:t>Nota (transcrição)</w:t>
            </w:r>
          </w:p>
        </w:tc>
        <w:tc>
          <w:tcPr>
            <w:tcW w:type="dxa" w:w="907"/>
          </w:tcPr>
          <w:p>
            <w:r/>
            <w:r>
              <w:rPr>
                <w:b/>
                <w:color w:val="1F3B63"/>
                <w:sz w:val="18"/>
              </w:rPr>
              <w:t>Válida?</w:t>
            </w:r>
          </w:p>
        </w:tc>
        <w:tc>
          <w:tcPr>
            <w:tcW w:type="dxa" w:w="1077"/>
          </w:tcPr>
          <w:p>
            <w:r/>
            <w:r>
              <w:rPr>
                <w:b/>
                <w:color w:val="1F3B63"/>
                <w:sz w:val="18"/>
              </w:rPr>
              <w:t>Já na análise?</w:t>
            </w:r>
          </w:p>
        </w:tc>
        <w:tc>
          <w:tcPr>
            <w:tcW w:type="dxa" w:w="7880"/>
          </w:tcPr>
          <w:p>
            <w:r/>
            <w:r>
              <w:rPr>
                <w:b/>
                <w:color w:val="1F3B63"/>
                <w:sz w:val="18"/>
              </w:rPr>
              <w:t>Verificação e fundamento</w:t>
            </w:r>
          </w:p>
        </w:tc>
      </w:tr>
      <w:tr>
        <w:tc>
          <w:tcPr>
            <w:tcW w:type="dxa" w:w="510"/>
          </w:tcPr>
          <w:p>
            <w:pPr>
              <w:spacing w:after="20"/>
              <w:jc w:val="left"/>
            </w:pPr>
            <w:r/>
            <w:r>
              <w:rPr>
                <w:sz w:val="17"/>
              </w:rPr>
              <w:t>1</w:t>
            </w:r>
          </w:p>
        </w:tc>
        <w:tc>
          <w:tcPr>
            <w:tcW w:type="dxa" w:w="1474"/>
          </w:tcPr>
          <w:p>
            <w:pPr>
              <w:spacing w:after="20"/>
              <w:jc w:val="left"/>
            </w:pPr>
            <w:r/>
            <w:r>
              <w:rPr>
                <w:sz w:val="17"/>
              </w:rPr>
              <w:t>p. 1, título</w:t>
            </w:r>
          </w:p>
        </w:tc>
        <w:tc>
          <w:tcPr>
            <w:tcW w:type="dxa" w:w="2948"/>
          </w:tcPr>
          <w:p>
            <w:pPr>
              <w:spacing w:after="20"/>
              <w:jc w:val="left"/>
            </w:pPr>
            <w:r/>
            <w:r>
              <w:rPr>
                <w:sz w:val="17"/>
              </w:rPr>
              <w:t>«Resgate?» (seta para «retirada e apreensão»)</w:t>
            </w:r>
          </w:p>
        </w:tc>
        <w:tc>
          <w:tcPr>
            <w:tcW w:type="dxa" w:w="907"/>
          </w:tcPr>
          <w:p>
            <w:pPr>
              <w:spacing w:after="20"/>
              <w:jc w:val="left"/>
            </w:pPr>
            <w:r/>
            <w:r>
              <w:rPr>
                <w:b/>
                <w:sz w:val="17"/>
              </w:rPr>
              <w:t>Sim</w:t>
            </w:r>
          </w:p>
        </w:tc>
        <w:tc>
          <w:tcPr>
            <w:tcW w:type="dxa" w:w="1077"/>
          </w:tcPr>
          <w:p>
            <w:pPr>
              <w:spacing w:after="20"/>
              <w:jc w:val="left"/>
            </w:pPr>
            <w:r/>
            <w:r>
              <w:rPr>
                <w:b/>
                <w:sz w:val="17"/>
              </w:rPr>
              <w:t>Não</w:t>
            </w:r>
          </w:p>
        </w:tc>
        <w:tc>
          <w:tcPr>
            <w:tcW w:type="dxa" w:w="7880"/>
          </w:tcPr>
          <w:p>
            <w:pPr>
              <w:spacing w:after="20"/>
              <w:jc w:val="left"/>
            </w:pPr>
            <w:r/>
            <w:r>
              <w:rPr>
                <w:sz w:val="17"/>
              </w:rPr>
              <w:t>«Resgate» não é termo legal em nenhum dos cenários. No cenário 1 a lei fala em «recolha ou captura» (DL 276/2001, art. 19.º, n.º 8; Lei 92/95, art. 1.º-A) e em «apreensão» (CPP, art. 178.º; RJCE, art. 49.º). No cenário 2 a Lei 38/2026 fala em «busca, salvamento e socorro». A própria proposta troca «salvamento» por «resgate» no ponto 9.1, ao citar a al. k) do art. 41.º da LBPC. Usar os termos legais.</w:t>
            </w:r>
          </w:p>
        </w:tc>
      </w:tr>
      <w:tr>
        <w:tc>
          <w:tcPr>
            <w:tcW w:type="dxa" w:w="510"/>
          </w:tcPr>
          <w:p>
            <w:pPr>
              <w:spacing w:after="20"/>
              <w:jc w:val="left"/>
            </w:pPr>
            <w:r/>
            <w:r>
              <w:rPr>
                <w:sz w:val="17"/>
              </w:rPr>
              <w:t>2</w:t>
            </w:r>
          </w:p>
        </w:tc>
        <w:tc>
          <w:tcPr>
            <w:tcW w:type="dxa" w:w="1474"/>
          </w:tcPr>
          <w:p>
            <w:pPr>
              <w:spacing w:after="20"/>
              <w:jc w:val="left"/>
            </w:pPr>
            <w:r/>
            <w:r>
              <w:rPr>
                <w:sz w:val="17"/>
              </w:rPr>
              <w:t>p. 1, título</w:t>
            </w:r>
          </w:p>
        </w:tc>
        <w:tc>
          <w:tcPr>
            <w:tcW w:type="dxa" w:w="2948"/>
          </w:tcPr>
          <w:p>
            <w:pPr>
              <w:spacing w:after="20"/>
              <w:jc w:val="left"/>
            </w:pPr>
            <w:r/>
            <w:r>
              <w:rPr>
                <w:sz w:val="17"/>
              </w:rPr>
              <w:t>«Situações de riscos higiossanitários ou ambientais» (seta para «risco para a saúde e o bem-estar animal»)</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O âmbito da proposta omite fundamentos que a lei prevê: «Existência de riscos higiossanitários» e «proteção do meio ambiente» (DL 276/2001, art. 3.º-G, n.º 1, als. a) e d)); «ausência de riscos hígio-sanitários relativamente à conspurcação ambiental» (DL 314/2003, art. 3.º, n.º 1). A análise citou estas normas no quadro das vias, mas não apontou que faltam no âmbito (ponto 1.1).</w:t>
            </w:r>
          </w:p>
        </w:tc>
      </w:tr>
      <w:tr>
        <w:tc>
          <w:tcPr>
            <w:tcW w:type="dxa" w:w="510"/>
          </w:tcPr>
          <w:p>
            <w:pPr>
              <w:spacing w:after="20"/>
              <w:jc w:val="left"/>
            </w:pPr>
            <w:r/>
            <w:r>
              <w:rPr>
                <w:sz w:val="17"/>
              </w:rPr>
              <w:t>3</w:t>
            </w:r>
          </w:p>
        </w:tc>
        <w:tc>
          <w:tcPr>
            <w:tcW w:type="dxa" w:w="1474"/>
          </w:tcPr>
          <w:p>
            <w:pPr>
              <w:spacing w:after="20"/>
              <w:jc w:val="left"/>
            </w:pPr>
            <w:r/>
            <w:r>
              <w:rPr>
                <w:sz w:val="17"/>
              </w:rPr>
              <w:t>p. 1, título</w:t>
            </w:r>
          </w:p>
        </w:tc>
        <w:tc>
          <w:tcPr>
            <w:tcW w:type="dxa" w:w="2948"/>
          </w:tcPr>
          <w:p>
            <w:pPr>
              <w:spacing w:after="20"/>
              <w:jc w:val="left"/>
            </w:pPr>
            <w:r/>
            <w:r>
              <w:rPr>
                <w:sz w:val="17"/>
              </w:rPr>
              <w:t>«cenário 1» (maus-tratos ou risco) e «cenário 2» (socorro)</w:t>
            </w:r>
          </w:p>
        </w:tc>
        <w:tc>
          <w:tcPr>
            <w:tcW w:type="dxa" w:w="907"/>
          </w:tcPr>
          <w:p>
            <w:pPr>
              <w:spacing w:after="20"/>
              <w:jc w:val="left"/>
            </w:pPr>
            <w:r/>
            <w:r>
              <w:rPr>
                <w:b/>
                <w:sz w:val="17"/>
              </w:rPr>
              <w:t>Sim</w:t>
            </w:r>
          </w:p>
        </w:tc>
        <w:tc>
          <w:tcPr>
            <w:tcW w:type="dxa" w:w="1077"/>
          </w:tcPr>
          <w:p>
            <w:pPr>
              <w:spacing w:after="20"/>
              <w:jc w:val="left"/>
            </w:pPr>
            <w:r/>
            <w:r>
              <w:rPr>
                <w:b/>
                <w:sz w:val="17"/>
              </w:rPr>
              <w:t>Sim</w:t>
            </w:r>
          </w:p>
        </w:tc>
        <w:tc>
          <w:tcPr>
            <w:tcW w:type="dxa" w:w="7880"/>
          </w:tcPr>
          <w:p>
            <w:pPr>
              <w:spacing w:after="20"/>
              <w:jc w:val="left"/>
            </w:pPr>
            <w:r/>
            <w:r>
              <w:rPr>
                <w:sz w:val="17"/>
              </w:rPr>
              <w:t>Coincide com a divisão em âmbito A e âmbito B da análise.</w:t>
            </w:r>
          </w:p>
        </w:tc>
      </w:tr>
      <w:tr>
        <w:tc>
          <w:tcPr>
            <w:tcW w:type="dxa" w:w="510"/>
          </w:tcPr>
          <w:p>
            <w:pPr>
              <w:spacing w:after="20"/>
              <w:jc w:val="left"/>
            </w:pPr>
            <w:r/>
            <w:r>
              <w:rPr>
                <w:sz w:val="17"/>
              </w:rPr>
              <w:t>4</w:t>
            </w:r>
          </w:p>
        </w:tc>
        <w:tc>
          <w:tcPr>
            <w:tcW w:type="dxa" w:w="1474"/>
          </w:tcPr>
          <w:p>
            <w:pPr>
              <w:spacing w:after="20"/>
              <w:jc w:val="left"/>
            </w:pPr>
            <w:r/>
            <w:r>
              <w:rPr>
                <w:sz w:val="17"/>
              </w:rPr>
              <w:t>p. 1, síntese</w:t>
            </w:r>
          </w:p>
        </w:tc>
        <w:tc>
          <w:tcPr>
            <w:tcW w:type="dxa" w:w="2948"/>
          </w:tcPr>
          <w:p>
            <w:pPr>
              <w:spacing w:after="20"/>
              <w:jc w:val="left"/>
            </w:pPr>
            <w:r/>
            <w:r>
              <w:rPr>
                <w:sz w:val="17"/>
              </w:rPr>
              <w:t>«314/2003? 315/2009?»</w:t>
            </w:r>
          </w:p>
        </w:tc>
        <w:tc>
          <w:tcPr>
            <w:tcW w:type="dxa" w:w="907"/>
          </w:tcPr>
          <w:p>
            <w:pPr>
              <w:spacing w:after="20"/>
              <w:jc w:val="left"/>
            </w:pPr>
            <w:r/>
            <w:r>
              <w:rPr>
                <w:b/>
                <w:sz w:val="17"/>
              </w:rPr>
              <w:t>Sim</w:t>
            </w:r>
          </w:p>
        </w:tc>
        <w:tc>
          <w:tcPr>
            <w:tcW w:type="dxa" w:w="1077"/>
          </w:tcPr>
          <w:p>
            <w:pPr>
              <w:spacing w:after="20"/>
              <w:jc w:val="left"/>
            </w:pPr>
            <w:r/>
            <w:r>
              <w:rPr>
                <w:b/>
                <w:sz w:val="17"/>
              </w:rPr>
              <w:t>314: Sim. 315: Não</w:t>
            </w:r>
          </w:p>
        </w:tc>
        <w:tc>
          <w:tcPr>
            <w:tcW w:type="dxa" w:w="7880"/>
          </w:tcPr>
          <w:p>
            <w:pPr>
              <w:spacing w:after="20"/>
              <w:jc w:val="left"/>
            </w:pPr>
            <w:r/>
            <w:r>
              <w:rPr>
                <w:sz w:val="17"/>
              </w:rPr>
              <w:t>O DL 314/2003 estava na análise (via V5). O DL 315/2009 não estava, e é uma omissão. Tem regime próprio de retirada: recolha obrigatória para CRO do animal que ofenda uma pessoa (art. 14.º, n.º 1); destino e eutanásia decididos pelo MVM (art. 15.º); mandado pedido «ao tribunal cível da respetiva comarca» para aceder e remover (art. 30.º, n.º 3); apreensão provisória «nos termos do RJCE», com fiel depositário e «retorno ao local de origem» (art. 39.º, n.ºs 1, 7 e 8); perda e privação do direito de detenção (art. 30.º-A).</w:t>
            </w:r>
          </w:p>
        </w:tc>
      </w:tr>
      <w:tr>
        <w:tc>
          <w:tcPr>
            <w:tcW w:type="dxa" w:w="510"/>
          </w:tcPr>
          <w:p>
            <w:pPr>
              <w:spacing w:after="20"/>
              <w:jc w:val="left"/>
            </w:pPr>
            <w:r/>
            <w:r>
              <w:rPr>
                <w:sz w:val="17"/>
              </w:rPr>
              <w:t>5</w:t>
            </w:r>
          </w:p>
        </w:tc>
        <w:tc>
          <w:tcPr>
            <w:tcW w:type="dxa" w:w="1474"/>
          </w:tcPr>
          <w:p>
            <w:pPr>
              <w:spacing w:after="20"/>
              <w:jc w:val="left"/>
            </w:pPr>
            <w:r/>
            <w:r>
              <w:rPr>
                <w:sz w:val="17"/>
              </w:rPr>
              <w:t>p. 1, princípio 1</w:t>
            </w:r>
          </w:p>
        </w:tc>
        <w:tc>
          <w:tcPr>
            <w:tcW w:type="dxa" w:w="2948"/>
          </w:tcPr>
          <w:p>
            <w:pPr>
              <w:spacing w:after="20"/>
              <w:jc w:val="left"/>
            </w:pPr>
            <w:r/>
            <w:r>
              <w:rPr>
                <w:sz w:val="17"/>
              </w:rPr>
              <w:t>Comando único: «qual?»</w:t>
            </w:r>
          </w:p>
        </w:tc>
        <w:tc>
          <w:tcPr>
            <w:tcW w:type="dxa" w:w="907"/>
          </w:tcPr>
          <w:p>
            <w:pPr>
              <w:spacing w:after="20"/>
              <w:jc w:val="left"/>
            </w:pPr>
            <w:r/>
            <w:r>
              <w:rPr>
                <w:b/>
                <w:sz w:val="17"/>
              </w:rPr>
              <w:t>Sim</w:t>
            </w:r>
          </w:p>
        </w:tc>
        <w:tc>
          <w:tcPr>
            <w:tcW w:type="dxa" w:w="1077"/>
          </w:tcPr>
          <w:p>
            <w:pPr>
              <w:spacing w:after="20"/>
              <w:jc w:val="left"/>
            </w:pPr>
            <w:r/>
            <w:r>
              <w:rPr>
                <w:b/>
                <w:sz w:val="17"/>
              </w:rPr>
              <w:t>Sim</w:t>
            </w:r>
          </w:p>
        </w:tc>
        <w:tc>
          <w:tcPr>
            <w:tcW w:type="dxa" w:w="7880"/>
          </w:tcPr>
          <w:p>
            <w:pPr>
              <w:spacing w:after="20"/>
              <w:jc w:val="left"/>
            </w:pPr>
            <w:r/>
            <w:r>
              <w:rPr>
                <w:sz w:val="17"/>
              </w:rPr>
              <w:t>O princípio não diz qual autoridade. Na lei depende da via (análise, 4.4, a)).</w:t>
            </w:r>
          </w:p>
        </w:tc>
      </w:tr>
      <w:tr>
        <w:tc>
          <w:tcPr>
            <w:tcW w:type="dxa" w:w="510"/>
          </w:tcPr>
          <w:p>
            <w:pPr>
              <w:spacing w:after="20"/>
              <w:jc w:val="left"/>
            </w:pPr>
            <w:r/>
            <w:r>
              <w:rPr>
                <w:sz w:val="17"/>
              </w:rPr>
              <w:t>6</w:t>
            </w:r>
          </w:p>
        </w:tc>
        <w:tc>
          <w:tcPr>
            <w:tcW w:type="dxa" w:w="1474"/>
          </w:tcPr>
          <w:p>
            <w:pPr>
              <w:spacing w:after="20"/>
              <w:jc w:val="left"/>
            </w:pPr>
            <w:r/>
            <w:r>
              <w:rPr>
                <w:sz w:val="17"/>
              </w:rPr>
              <w:t>p. 1, princípio 3</w:t>
            </w:r>
          </w:p>
        </w:tc>
        <w:tc>
          <w:tcPr>
            <w:tcW w:type="dxa" w:w="2948"/>
          </w:tcPr>
          <w:p>
            <w:pPr>
              <w:spacing w:after="20"/>
              <w:jc w:val="left"/>
            </w:pPr>
            <w:r/>
            <w:r>
              <w:rPr>
                <w:sz w:val="17"/>
              </w:rPr>
              <w:t>Responsabilidade clínica: «qual?»</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A definição diz «inscrito na OMV, designado para a operação», sem dizer por quem. A análise criticou só a remissão para o art. 4.º do DL 276/2001 (3.3).</w:t>
            </w:r>
          </w:p>
        </w:tc>
      </w:tr>
      <w:tr>
        <w:tc>
          <w:tcPr>
            <w:tcW w:type="dxa" w:w="510"/>
          </w:tcPr>
          <w:p>
            <w:pPr>
              <w:spacing w:after="20"/>
              <w:jc w:val="left"/>
            </w:pPr>
            <w:r/>
            <w:r>
              <w:rPr>
                <w:sz w:val="17"/>
              </w:rPr>
              <w:t>7</w:t>
            </w:r>
          </w:p>
        </w:tc>
        <w:tc>
          <w:tcPr>
            <w:tcW w:type="dxa" w:w="1474"/>
          </w:tcPr>
          <w:p>
            <w:pPr>
              <w:spacing w:after="20"/>
              <w:jc w:val="left"/>
            </w:pPr>
            <w:r/>
            <w:r>
              <w:rPr>
                <w:sz w:val="17"/>
              </w:rPr>
              <w:t>p. 1, princípio 6</w:t>
            </w:r>
          </w:p>
        </w:tc>
        <w:tc>
          <w:tcPr>
            <w:tcW w:type="dxa" w:w="2948"/>
          </w:tcPr>
          <w:p>
            <w:pPr>
              <w:spacing w:after="20"/>
              <w:jc w:val="left"/>
            </w:pPr>
            <w:r/>
            <w:r>
              <w:rPr>
                <w:sz w:val="17"/>
              </w:rPr>
              <w:t>«registadas» (1) e «reconhecidas» (2)</w:t>
            </w:r>
          </w:p>
        </w:tc>
        <w:tc>
          <w:tcPr>
            <w:tcW w:type="dxa" w:w="907"/>
          </w:tcPr>
          <w:p>
            <w:pPr>
              <w:spacing w:after="20"/>
              <w:jc w:val="left"/>
            </w:pPr>
            <w:r/>
            <w:r>
              <w:rPr>
                <w:b/>
                <w:sz w:val="17"/>
              </w:rPr>
              <w:t>Sim</w:t>
            </w:r>
          </w:p>
        </w:tc>
        <w:tc>
          <w:tcPr>
            <w:tcW w:type="dxa" w:w="1077"/>
          </w:tcPr>
          <w:p>
            <w:pPr>
              <w:spacing w:after="20"/>
              <w:jc w:val="left"/>
            </w:pPr>
            <w:r/>
            <w:r>
              <w:rPr>
                <w:b/>
                <w:sz w:val="17"/>
              </w:rPr>
              <w:t>Sim</w:t>
            </w:r>
          </w:p>
        </w:tc>
        <w:tc>
          <w:tcPr>
            <w:tcW w:type="dxa" w:w="7880"/>
          </w:tcPr>
          <w:p>
            <w:pPr>
              <w:spacing w:after="20"/>
              <w:jc w:val="left"/>
            </w:pPr>
            <w:r/>
            <w:r>
              <w:rPr>
                <w:sz w:val="17"/>
              </w:rPr>
              <w:t>Registadas onde: mera comunicação prévia do alojamento (DL 276/2001, art. 3.º-A) ou registo de associações da RCM 78/2021 (ato programático, junto do ICNF). Reconhecidas por quem: município, para a comissão municipal (LBPC, art. 41.º, al. k)), ou ANEPC, como OVPC (ver nota 15). Análise, 3.3 e 4.4, g).</w:t>
            </w:r>
          </w:p>
        </w:tc>
      </w:tr>
      <w:tr>
        <w:tc>
          <w:tcPr>
            <w:tcW w:type="dxa" w:w="510"/>
          </w:tcPr>
          <w:p>
            <w:pPr>
              <w:spacing w:after="20"/>
              <w:jc w:val="left"/>
            </w:pPr>
            <w:r/>
            <w:r>
              <w:rPr>
                <w:sz w:val="17"/>
              </w:rPr>
              <w:t>8</w:t>
            </w:r>
          </w:p>
        </w:tc>
        <w:tc>
          <w:tcPr>
            <w:tcW w:type="dxa" w:w="1474"/>
          </w:tcPr>
          <w:p>
            <w:pPr>
              <w:spacing w:after="20"/>
              <w:jc w:val="left"/>
            </w:pPr>
            <w:r/>
            <w:r>
              <w:rPr>
                <w:sz w:val="17"/>
              </w:rPr>
              <w:t>p. 1, tipologia A</w:t>
            </w:r>
          </w:p>
        </w:tc>
        <w:tc>
          <w:tcPr>
            <w:tcW w:type="dxa" w:w="2948"/>
          </w:tcPr>
          <w:p>
            <w:pPr>
              <w:spacing w:after="20"/>
              <w:jc w:val="left"/>
            </w:pPr>
            <w:r/>
            <w:r>
              <w:rPr>
                <w:sz w:val="17"/>
              </w:rPr>
              <w:t>«3.º G»</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Para alojamentos registados, a base é o art. 3.º-G (suspensão e encerramento pelo diretor-geral; recolha pelas câmaras, n.º 6). A proposta só o cita na nota ao 5.1.1. A análise tinha-o na via V4, mas não apontou que falta na tipologia A.</w:t>
            </w:r>
          </w:p>
        </w:tc>
      </w:tr>
      <w:tr>
        <w:tc>
          <w:tcPr>
            <w:tcW w:type="dxa" w:w="510"/>
          </w:tcPr>
          <w:p>
            <w:pPr>
              <w:spacing w:after="20"/>
              <w:jc w:val="left"/>
            </w:pPr>
            <w:r/>
            <w:r>
              <w:rPr>
                <w:sz w:val="17"/>
              </w:rPr>
              <w:t>9</w:t>
            </w:r>
          </w:p>
        </w:tc>
        <w:tc>
          <w:tcPr>
            <w:tcW w:type="dxa" w:w="1474"/>
          </w:tcPr>
          <w:p>
            <w:pPr>
              <w:spacing w:after="20"/>
              <w:jc w:val="left"/>
            </w:pPr>
            <w:r/>
            <w:r>
              <w:rPr>
                <w:sz w:val="17"/>
              </w:rPr>
              <w:t>p. 1, tipologia A</w:t>
            </w:r>
          </w:p>
        </w:tc>
        <w:tc>
          <w:tcPr>
            <w:tcW w:type="dxa" w:w="2948"/>
          </w:tcPr>
          <w:p>
            <w:pPr>
              <w:spacing w:after="20"/>
              <w:jc w:val="left"/>
            </w:pPr>
            <w:r/>
            <w:r>
              <w:rPr>
                <w:sz w:val="17"/>
              </w:rPr>
              <w:t>«+ 314/2003» e «+ situações a rever»</w:t>
            </w:r>
          </w:p>
        </w:tc>
        <w:tc>
          <w:tcPr>
            <w:tcW w:type="dxa" w:w="907"/>
          </w:tcPr>
          <w:p>
            <w:pPr>
              <w:spacing w:after="20"/>
              <w:jc w:val="left"/>
            </w:pPr>
            <w:r/>
            <w:r>
              <w:rPr>
                <w:b/>
                <w:sz w:val="17"/>
              </w:rPr>
              <w:t>Sim</w:t>
            </w:r>
          </w:p>
        </w:tc>
        <w:tc>
          <w:tcPr>
            <w:tcW w:type="dxa" w:w="1077"/>
          </w:tcPr>
          <w:p>
            <w:pPr>
              <w:spacing w:after="20"/>
              <w:jc w:val="left"/>
            </w:pPr>
            <w:r/>
            <w:r>
              <w:rPr>
                <w:b/>
                <w:sz w:val="17"/>
              </w:rPr>
              <w:t>Sim</w:t>
            </w:r>
          </w:p>
        </w:tc>
        <w:tc>
          <w:tcPr>
            <w:tcW w:type="dxa" w:w="7880"/>
          </w:tcPr>
          <w:p>
            <w:pPr>
              <w:spacing w:after="20"/>
              <w:jc w:val="left"/>
            </w:pPr>
            <w:r/>
            <w:r>
              <w:rPr>
                <w:sz w:val="17"/>
              </w:rPr>
              <w:t>DL 314/2003, art. 3.º, n.ºs 5 e 6 (análise, V5). «Situações a rever» é genérico (leitura da caligrafia a confirmar).</w:t>
            </w:r>
          </w:p>
        </w:tc>
      </w:tr>
      <w:tr>
        <w:tc>
          <w:tcPr>
            <w:tcW w:type="dxa" w:w="510"/>
          </w:tcPr>
          <w:p>
            <w:pPr>
              <w:spacing w:after="20"/>
              <w:jc w:val="left"/>
            </w:pPr>
            <w:r/>
            <w:r>
              <w:rPr>
                <w:sz w:val="17"/>
              </w:rPr>
              <w:t>10</w:t>
            </w:r>
          </w:p>
        </w:tc>
        <w:tc>
          <w:tcPr>
            <w:tcW w:type="dxa" w:w="1474"/>
          </w:tcPr>
          <w:p>
            <w:pPr>
              <w:spacing w:after="20"/>
              <w:jc w:val="left"/>
            </w:pPr>
            <w:r/>
            <w:r>
              <w:rPr>
                <w:sz w:val="17"/>
              </w:rPr>
              <w:t>p. 2, tipologia D</w:t>
            </w:r>
          </w:p>
        </w:tc>
        <w:tc>
          <w:tcPr>
            <w:tcW w:type="dxa" w:w="2948"/>
          </w:tcPr>
          <w:p>
            <w:pPr>
              <w:spacing w:after="20"/>
              <w:jc w:val="left"/>
            </w:pPr>
            <w:r/>
            <w:r>
              <w:rPr>
                <w:sz w:val="17"/>
              </w:rPr>
              <w:t>«Socorro vs. Resgate»</w:t>
            </w:r>
          </w:p>
        </w:tc>
        <w:tc>
          <w:tcPr>
            <w:tcW w:type="dxa" w:w="907"/>
          </w:tcPr>
          <w:p>
            <w:pPr>
              <w:spacing w:after="20"/>
              <w:jc w:val="left"/>
            </w:pPr>
            <w:r/>
            <w:r>
              <w:rPr>
                <w:b/>
                <w:sz w:val="17"/>
              </w:rPr>
              <w:t>Sim</w:t>
            </w:r>
          </w:p>
        </w:tc>
        <w:tc>
          <w:tcPr>
            <w:tcW w:type="dxa" w:w="1077"/>
          </w:tcPr>
          <w:p>
            <w:pPr>
              <w:spacing w:after="20"/>
              <w:jc w:val="left"/>
            </w:pPr>
            <w:r/>
            <w:r>
              <w:rPr>
                <w:b/>
                <w:sz w:val="17"/>
              </w:rPr>
              <w:t>Não</w:t>
            </w:r>
          </w:p>
        </w:tc>
        <w:tc>
          <w:tcPr>
            <w:tcW w:type="dxa" w:w="7880"/>
          </w:tcPr>
          <w:p>
            <w:pPr>
              <w:spacing w:after="20"/>
              <w:jc w:val="left"/>
            </w:pPr>
            <w:r/>
            <w:r>
              <w:rPr>
                <w:sz w:val="17"/>
              </w:rPr>
              <w:t>Ver nota 1.</w:t>
            </w:r>
          </w:p>
        </w:tc>
      </w:tr>
      <w:tr>
        <w:tc>
          <w:tcPr>
            <w:tcW w:type="dxa" w:w="510"/>
          </w:tcPr>
          <w:p>
            <w:pPr>
              <w:spacing w:after="20"/>
              <w:jc w:val="left"/>
            </w:pPr>
            <w:r/>
            <w:r>
              <w:rPr>
                <w:sz w:val="17"/>
              </w:rPr>
              <w:t>11</w:t>
            </w:r>
          </w:p>
        </w:tc>
        <w:tc>
          <w:tcPr>
            <w:tcW w:type="dxa" w:w="1474"/>
          </w:tcPr>
          <w:p>
            <w:pPr>
              <w:spacing w:after="20"/>
              <w:jc w:val="left"/>
            </w:pPr>
            <w:r/>
            <w:r>
              <w:rPr>
                <w:sz w:val="17"/>
              </w:rPr>
              <w:t>p. 3, ponto 1.1</w:t>
            </w:r>
          </w:p>
        </w:tc>
        <w:tc>
          <w:tcPr>
            <w:tcW w:type="dxa" w:w="2948"/>
          </w:tcPr>
          <w:p>
            <w:pPr>
              <w:spacing w:after="20"/>
              <w:jc w:val="left"/>
            </w:pPr>
            <w:r/>
            <w:r>
              <w:rPr>
                <w:sz w:val="17"/>
              </w:rPr>
              <w:t>Numeração 1 a 5 dos fundamentos (maus-tratos; risco para a saúde; bem-estar; saúde pública; socorro)</w:t>
            </w:r>
          </w:p>
        </w:tc>
        <w:tc>
          <w:tcPr>
            <w:tcW w:type="dxa" w:w="907"/>
          </w:tcPr>
          <w:p>
            <w:pPr>
              <w:spacing w:after="20"/>
              <w:jc w:val="left"/>
            </w:pPr>
            <w:r/>
            <w:r>
              <w:rPr>
                <w:b/>
                <w:sz w:val="17"/>
              </w:rPr>
              <w:t>Sim</w:t>
            </w:r>
          </w:p>
        </w:tc>
        <w:tc>
          <w:tcPr>
            <w:tcW w:type="dxa" w:w="1077"/>
          </w:tcPr>
          <w:p>
            <w:pPr>
              <w:spacing w:after="20"/>
              <w:jc w:val="left"/>
            </w:pPr>
            <w:r/>
            <w:r>
              <w:rPr>
                <w:b/>
                <w:sz w:val="17"/>
              </w:rPr>
              <w:t>Sim</w:t>
            </w:r>
          </w:p>
        </w:tc>
        <w:tc>
          <w:tcPr>
            <w:tcW w:type="dxa" w:w="7880"/>
          </w:tcPr>
          <w:p>
            <w:pPr>
              <w:spacing w:after="20"/>
              <w:jc w:val="left"/>
            </w:pPr>
            <w:r/>
            <w:r>
              <w:rPr>
                <w:sz w:val="17"/>
              </w:rPr>
              <w:t>São cinco fundamentos com bases legais diferentes. A análise organizou-os por via legal (4.2) e pediu módulos separados (3.4).</w:t>
            </w:r>
          </w:p>
        </w:tc>
      </w:tr>
      <w:tr>
        <w:tc>
          <w:tcPr>
            <w:tcW w:type="dxa" w:w="510"/>
          </w:tcPr>
          <w:p>
            <w:pPr>
              <w:spacing w:after="20"/>
              <w:jc w:val="left"/>
            </w:pPr>
            <w:r/>
            <w:r>
              <w:rPr>
                <w:sz w:val="17"/>
              </w:rPr>
              <w:t>12</w:t>
            </w:r>
          </w:p>
        </w:tc>
        <w:tc>
          <w:tcPr>
            <w:tcW w:type="dxa" w:w="1474"/>
          </w:tcPr>
          <w:p>
            <w:pPr>
              <w:spacing w:after="20"/>
              <w:jc w:val="left"/>
            </w:pPr>
            <w:r/>
            <w:r>
              <w:rPr>
                <w:sz w:val="17"/>
              </w:rPr>
              <w:t>p. 3, ponto 1.5</w:t>
            </w:r>
          </w:p>
        </w:tc>
        <w:tc>
          <w:tcPr>
            <w:tcW w:type="dxa" w:w="2948"/>
          </w:tcPr>
          <w:p>
            <w:pPr>
              <w:spacing w:after="20"/>
              <w:jc w:val="left"/>
            </w:pPr>
            <w:r/>
            <w:r>
              <w:rPr>
                <w:sz w:val="17"/>
              </w:rPr>
              <w:t>«314/2003?» (recolha de errantes «regulada por legislação própria»)</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A legislação própria é o DL 314/2003 (art. 8.º, captura pelas câmaras; art. 9.º, destino decidido pelo MVM), com a Lei 27/2016 e a Portaria 146/2017. O DL 276/2001, art. 19.º, n.º 10, diz o mesmo para cães e gatos (análise, 4.4, n)).</w:t>
            </w:r>
          </w:p>
        </w:tc>
      </w:tr>
      <w:tr>
        <w:tc>
          <w:tcPr>
            <w:tcW w:type="dxa" w:w="510"/>
          </w:tcPr>
          <w:p>
            <w:pPr>
              <w:spacing w:after="20"/>
              <w:jc w:val="left"/>
            </w:pPr>
            <w:r/>
            <w:r>
              <w:rPr>
                <w:sz w:val="17"/>
              </w:rPr>
              <w:t>13</w:t>
            </w:r>
          </w:p>
        </w:tc>
        <w:tc>
          <w:tcPr>
            <w:tcW w:type="dxa" w:w="1474"/>
          </w:tcPr>
          <w:p>
            <w:pPr>
              <w:spacing w:after="20"/>
              <w:jc w:val="left"/>
            </w:pPr>
            <w:r/>
            <w:r>
              <w:rPr>
                <w:sz w:val="17"/>
              </w:rPr>
              <w:t>p. 3, definição de entidade coordenadora</w:t>
            </w:r>
          </w:p>
        </w:tc>
        <w:tc>
          <w:tcPr>
            <w:tcW w:type="dxa" w:w="2948"/>
          </w:tcPr>
          <w:p>
            <w:pPr>
              <w:spacing w:after="20"/>
              <w:jc w:val="left"/>
            </w:pPr>
            <w:r/>
            <w:r>
              <w:rPr>
                <w:sz w:val="17"/>
              </w:rPr>
              <w:t>«Socorro vs Resgate»</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Terminologia: ver nota 1. Fundo: a Lei 38/2026 não define nenhuma entidade coordenadora; no socorro a responsabilidade é do COS (SIOPS, art. 9.º, n.º 1). A análise tratou o comando (5.4, a)), não a terminologia.</w:t>
            </w:r>
          </w:p>
        </w:tc>
      </w:tr>
      <w:tr>
        <w:tc>
          <w:tcPr>
            <w:tcW w:type="dxa" w:w="510"/>
          </w:tcPr>
          <w:p>
            <w:pPr>
              <w:spacing w:after="20"/>
              <w:jc w:val="left"/>
            </w:pPr>
            <w:r/>
            <w:r>
              <w:rPr>
                <w:sz w:val="17"/>
              </w:rPr>
              <w:t>14</w:t>
            </w:r>
          </w:p>
        </w:tc>
        <w:tc>
          <w:tcPr>
            <w:tcW w:type="dxa" w:w="1474"/>
          </w:tcPr>
          <w:p>
            <w:pPr>
              <w:spacing w:after="20"/>
              <w:jc w:val="left"/>
            </w:pPr>
            <w:r/>
            <w:r>
              <w:rPr>
                <w:sz w:val="17"/>
              </w:rPr>
              <w:t>p. 3, definição de responsável clínico</w:t>
            </w:r>
          </w:p>
        </w:tc>
        <w:tc>
          <w:tcPr>
            <w:tcW w:type="dxa" w:w="2948"/>
          </w:tcPr>
          <w:p>
            <w:pPr>
              <w:spacing w:after="20"/>
              <w:jc w:val="left"/>
            </w:pPr>
            <w:r/>
            <w:r>
              <w:rPr>
                <w:sz w:val="17"/>
              </w:rPr>
              <w:t>«com que meios?»</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A DGAV não tem meios clínicos próprios; o CAMV e a bolsa da OMV são voluntários e o P.A.R.A. está «em constituição». A análise tratou custos e carga da DGAV (4.4, k) e l)), não os meios clínicos.</w:t>
            </w:r>
          </w:p>
        </w:tc>
      </w:tr>
      <w:tr>
        <w:tc>
          <w:tcPr>
            <w:tcW w:type="dxa" w:w="510"/>
          </w:tcPr>
          <w:p>
            <w:pPr>
              <w:spacing w:after="20"/>
              <w:jc w:val="left"/>
            </w:pPr>
            <w:r/>
            <w:r>
              <w:rPr>
                <w:sz w:val="17"/>
              </w:rPr>
              <w:t>15</w:t>
            </w:r>
          </w:p>
        </w:tc>
        <w:tc>
          <w:tcPr>
            <w:tcW w:type="dxa" w:w="1474"/>
          </w:tcPr>
          <w:p>
            <w:pPr>
              <w:spacing w:after="20"/>
              <w:jc w:val="left"/>
            </w:pPr>
            <w:r/>
            <w:r>
              <w:rPr>
                <w:sz w:val="17"/>
              </w:rPr>
              <w:t>p. 3, definição de entidade participante</w:t>
            </w:r>
          </w:p>
        </w:tc>
        <w:tc>
          <w:tcPr>
            <w:tcW w:type="dxa" w:w="2948"/>
          </w:tcPr>
          <w:p>
            <w:pPr>
              <w:spacing w:after="20"/>
              <w:jc w:val="left"/>
            </w:pPr>
            <w:r/>
            <w:r>
              <w:rPr>
                <w:sz w:val="17"/>
              </w:rPr>
              <w:t>«OVPC? organizações voluntárias de PC»</w:t>
            </w:r>
          </w:p>
        </w:tc>
        <w:tc>
          <w:tcPr>
            <w:tcW w:type="dxa" w:w="907"/>
          </w:tcPr>
          <w:p>
            <w:pPr>
              <w:spacing w:after="20"/>
              <w:jc w:val="left"/>
            </w:pPr>
            <w:r/>
            <w:r>
              <w:rPr>
                <w:b/>
                <w:sz w:val="17"/>
              </w:rPr>
              <w:t>Sim</w:t>
            </w:r>
          </w:p>
        </w:tc>
        <w:tc>
          <w:tcPr>
            <w:tcW w:type="dxa" w:w="1077"/>
          </w:tcPr>
          <w:p>
            <w:pPr>
              <w:spacing w:after="20"/>
              <w:jc w:val="left"/>
            </w:pPr>
            <w:r/>
            <w:r>
              <w:rPr>
                <w:b/>
                <w:sz w:val="17"/>
              </w:rPr>
              <w:t>Não</w:t>
            </w:r>
          </w:p>
        </w:tc>
        <w:tc>
          <w:tcPr>
            <w:tcW w:type="dxa" w:w="7880"/>
          </w:tcPr>
          <w:p>
            <w:pPr>
              <w:spacing w:after="20"/>
              <w:jc w:val="left"/>
            </w:pPr>
            <w:r/>
            <w:r>
              <w:rPr>
                <w:sz w:val="17"/>
              </w:rPr>
              <w:t>Nota importante. A LBPC já tem a figura: «Organizações de voluntariado de proteção civil», com especial dever de cooperação (art. 46.º-A, n.º 1, al. h)). São reconhecidas por despacho do presidente da ANEPC, nos termos da Portaria 91/2017 (art. 5.º, n.º 1), que admite entidades com atividades «conexas» à proteção civil (art. 2.º, n.º 2). É este o canal legal para as associações no cenário 2, não uma credenciação da DGAV. A Portaria fala de «pessoas e bens» (art. 3.º, n.º 1, al. b)) e não foi atualizada depois da Lei 38/2026.</w:t>
            </w:r>
          </w:p>
        </w:tc>
      </w:tr>
      <w:tr>
        <w:tc>
          <w:tcPr>
            <w:tcW w:type="dxa" w:w="510"/>
          </w:tcPr>
          <w:p>
            <w:pPr>
              <w:spacing w:after="20"/>
              <w:jc w:val="left"/>
            </w:pPr>
            <w:r/>
            <w:r>
              <w:rPr>
                <w:sz w:val="17"/>
              </w:rPr>
              <w:t>16</w:t>
            </w:r>
          </w:p>
        </w:tc>
        <w:tc>
          <w:tcPr>
            <w:tcW w:type="dxa" w:w="1474"/>
          </w:tcPr>
          <w:p>
            <w:pPr>
              <w:spacing w:after="20"/>
              <w:jc w:val="left"/>
            </w:pPr>
            <w:r/>
            <w:r>
              <w:rPr>
                <w:sz w:val="17"/>
              </w:rPr>
              <w:t>p. 3, ponto 3.1</w:t>
            </w:r>
          </w:p>
        </w:tc>
        <w:tc>
          <w:tcPr>
            <w:tcW w:type="dxa" w:w="2948"/>
          </w:tcPr>
          <w:p>
            <w:pPr>
              <w:spacing w:after="20"/>
              <w:jc w:val="left"/>
            </w:pPr>
            <w:r/>
            <w:r>
              <w:rPr>
                <w:sz w:val="17"/>
              </w:rPr>
              <w:t>«planeamento prévio»: «por quem?»</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Quem tem o título legal da operação (análise, 4.4, a)). No socorro, o planeamento é municipal (Lei 65/2007, art. 2.º, n.º 2, al. e)).</w:t>
            </w:r>
          </w:p>
        </w:tc>
      </w:tr>
      <w:tr>
        <w:tc>
          <w:tcPr>
            <w:tcW w:type="dxa" w:w="510"/>
          </w:tcPr>
          <w:p>
            <w:pPr>
              <w:spacing w:after="20"/>
              <w:jc w:val="left"/>
            </w:pPr>
            <w:r/>
            <w:r>
              <w:rPr>
                <w:sz w:val="17"/>
              </w:rPr>
              <w:t>17</w:t>
            </w:r>
          </w:p>
        </w:tc>
        <w:tc>
          <w:tcPr>
            <w:tcW w:type="dxa" w:w="1474"/>
          </w:tcPr>
          <w:p>
            <w:pPr>
              <w:spacing w:after="20"/>
              <w:jc w:val="left"/>
            </w:pPr>
            <w:r/>
            <w:r>
              <w:rPr>
                <w:sz w:val="17"/>
              </w:rPr>
              <w:t>p. 4, ponto 3.5</w:t>
            </w:r>
          </w:p>
        </w:tc>
        <w:tc>
          <w:tcPr>
            <w:tcW w:type="dxa" w:w="2948"/>
          </w:tcPr>
          <w:p>
            <w:pPr>
              <w:spacing w:after="20"/>
              <w:jc w:val="left"/>
            </w:pPr>
            <w:r/>
            <w:r>
              <w:rPr>
                <w:sz w:val="17"/>
              </w:rPr>
              <w:t>«mais alojamentos disponíveis para acolher animais de companhia, exemplo: Abrigos AZ ou Lar de Acolhimento»</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A lei vigente já o permite: depositários idóneos (CPP, art. 178.º, n.º 2); fiel depositário (RJCE, art. 49.º, n.º 3). O Regulamento (UE) 2026/1818 define abrigo e lar de acolhimento (art. 4.º, als. r) e s)) e o projeto de RGAC prevê a transmissão a associações e lares de acolhimento (art. 98.º, n.º 1). A análise falou de bolsa de entidades, sem nomear os lares.</w:t>
            </w:r>
          </w:p>
        </w:tc>
      </w:tr>
      <w:tr>
        <w:tc>
          <w:tcPr>
            <w:tcW w:type="dxa" w:w="510"/>
          </w:tcPr>
          <w:p>
            <w:pPr>
              <w:spacing w:after="20"/>
              <w:jc w:val="left"/>
            </w:pPr>
            <w:r/>
            <w:r>
              <w:rPr>
                <w:sz w:val="17"/>
              </w:rPr>
              <w:t>18</w:t>
            </w:r>
          </w:p>
        </w:tc>
        <w:tc>
          <w:tcPr>
            <w:tcW w:type="dxa" w:w="1474"/>
          </w:tcPr>
          <w:p>
            <w:pPr>
              <w:spacing w:after="20"/>
              <w:jc w:val="left"/>
            </w:pPr>
            <w:r/>
            <w:r>
              <w:rPr>
                <w:sz w:val="17"/>
              </w:rPr>
              <w:t>p. 4, ponto 4.2</w:t>
            </w:r>
          </w:p>
        </w:tc>
        <w:tc>
          <w:tcPr>
            <w:tcW w:type="dxa" w:w="2948"/>
          </w:tcPr>
          <w:p>
            <w:pPr>
              <w:spacing w:after="20"/>
              <w:jc w:val="left"/>
            </w:pPr>
            <w:r/>
            <w:r>
              <w:rPr>
                <w:sz w:val="17"/>
              </w:rPr>
              <w:t>Setores funcionais: «verificar se faz sentido estes elementos em ambos cenários»</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No cenário 2 os setores são definidos pelo COS (SIOPS, arts. 10.º, n.º 1, al. p), e 14.º). No cenário 1 fazem sentido.</w:t>
            </w:r>
          </w:p>
        </w:tc>
      </w:tr>
      <w:tr>
        <w:tc>
          <w:tcPr>
            <w:tcW w:type="dxa" w:w="510"/>
          </w:tcPr>
          <w:p>
            <w:pPr>
              <w:spacing w:after="20"/>
              <w:jc w:val="left"/>
            </w:pPr>
            <w:r/>
            <w:r>
              <w:rPr>
                <w:sz w:val="17"/>
              </w:rPr>
              <w:t>19</w:t>
            </w:r>
          </w:p>
        </w:tc>
        <w:tc>
          <w:tcPr>
            <w:tcW w:type="dxa" w:w="1474"/>
          </w:tcPr>
          <w:p>
            <w:pPr>
              <w:spacing w:after="20"/>
              <w:jc w:val="left"/>
            </w:pPr>
            <w:r/>
            <w:r>
              <w:rPr>
                <w:sz w:val="17"/>
              </w:rPr>
              <w:t>p. 4, ponto 4.3</w:t>
            </w:r>
          </w:p>
        </w:tc>
        <w:tc>
          <w:tcPr>
            <w:tcW w:type="dxa" w:w="2948"/>
          </w:tcPr>
          <w:p>
            <w:pPr>
              <w:spacing w:after="20"/>
              <w:jc w:val="left"/>
            </w:pPr>
            <w:r/>
            <w:r>
              <w:rPr>
                <w:sz w:val="17"/>
              </w:rPr>
              <w:t>«Verificar se a lei da proteção civil e Lei 38/2026 permitem esta ordem de eventos»</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Verificado: não preveem. A Lei 38/2026 só põe na comissão municipal a autoridade sanitária veterinária concelhia e as entidades reconhecidas (LBPC, art. 41.º, als. j) e k)). Não cria dever de comunicação prévia. A operação de socorro nasce no SIOPS, sob o COS, e não num documento da DGAV.</w:t>
            </w:r>
          </w:p>
        </w:tc>
      </w:tr>
      <w:tr>
        <w:tc>
          <w:tcPr>
            <w:tcW w:type="dxa" w:w="510"/>
          </w:tcPr>
          <w:p>
            <w:pPr>
              <w:spacing w:after="20"/>
              <w:jc w:val="left"/>
            </w:pPr>
            <w:r/>
            <w:r>
              <w:rPr>
                <w:sz w:val="17"/>
              </w:rPr>
              <w:t>20</w:t>
            </w:r>
          </w:p>
        </w:tc>
        <w:tc>
          <w:tcPr>
            <w:tcW w:type="dxa" w:w="1474"/>
          </w:tcPr>
          <w:p>
            <w:pPr>
              <w:spacing w:after="20"/>
              <w:jc w:val="left"/>
            </w:pPr>
            <w:r/>
            <w:r>
              <w:rPr>
                <w:sz w:val="17"/>
              </w:rPr>
              <w:t>p. 4, ponto 4.5</w:t>
            </w:r>
          </w:p>
        </w:tc>
        <w:tc>
          <w:tcPr>
            <w:tcW w:type="dxa" w:w="2948"/>
          </w:tcPr>
          <w:p>
            <w:pPr>
              <w:spacing w:after="20"/>
              <w:jc w:val="left"/>
            </w:pPr>
            <w:r/>
            <w:r>
              <w:rPr>
                <w:sz w:val="17"/>
              </w:rPr>
              <w:t>Mandado prévio: «Incompatível com operações de resgate?»</w:t>
            </w:r>
          </w:p>
        </w:tc>
        <w:tc>
          <w:tcPr>
            <w:tcW w:type="dxa" w:w="907"/>
          </w:tcPr>
          <w:p>
            <w:pPr>
              <w:spacing w:after="20"/>
              <w:jc w:val="left"/>
            </w:pPr>
            <w:r/>
            <w:r>
              <w:rPr>
                <w:b/>
                <w:sz w:val="17"/>
              </w:rPr>
              <w:t>Sim</w:t>
            </w:r>
          </w:p>
        </w:tc>
        <w:tc>
          <w:tcPr>
            <w:tcW w:type="dxa" w:w="1077"/>
          </w:tcPr>
          <w:p>
            <w:pPr>
              <w:spacing w:after="20"/>
              <w:jc w:val="left"/>
            </w:pPr>
            <w:r/>
            <w:r>
              <w:rPr>
                <w:b/>
                <w:sz w:val="17"/>
              </w:rPr>
              <w:t>Não</w:t>
            </w:r>
          </w:p>
        </w:tc>
        <w:tc>
          <w:tcPr>
            <w:tcW w:type="dxa" w:w="7880"/>
          </w:tcPr>
          <w:p>
            <w:pPr>
              <w:spacing w:after="20"/>
              <w:jc w:val="left"/>
            </w:pPr>
            <w:r/>
            <w:r>
              <w:rPr>
                <w:sz w:val="17"/>
              </w:rPr>
              <w:t>No socorro, exigir mandado antes de entrar é incompatível com a urgência. A entrada para salvar o animal justifica-se pelo perigo atual (direito de necessidade, CP, art. 34.º) e faz-se numa operação sob o COS. O mandado continua necessário no cenário 1 para entrar em casa de habitação (CRP, art. 34.º).</w:t>
            </w:r>
          </w:p>
        </w:tc>
      </w:tr>
      <w:tr>
        <w:tc>
          <w:tcPr>
            <w:tcW w:type="dxa" w:w="510"/>
          </w:tcPr>
          <w:p>
            <w:pPr>
              <w:spacing w:after="20"/>
              <w:jc w:val="left"/>
            </w:pPr>
            <w:r/>
            <w:r>
              <w:rPr>
                <w:sz w:val="17"/>
              </w:rPr>
              <w:t>21</w:t>
            </w:r>
          </w:p>
        </w:tc>
        <w:tc>
          <w:tcPr>
            <w:tcW w:type="dxa" w:w="1474"/>
          </w:tcPr>
          <w:p>
            <w:pPr>
              <w:spacing w:after="20"/>
              <w:jc w:val="left"/>
            </w:pPr>
            <w:r/>
            <w:r>
              <w:rPr>
                <w:sz w:val="17"/>
              </w:rPr>
              <w:t>p. 4, ponto 4.6 e fundamento</w:t>
            </w:r>
          </w:p>
        </w:tc>
        <w:tc>
          <w:tcPr>
            <w:tcW w:type="dxa" w:w="2948"/>
          </w:tcPr>
          <w:p>
            <w:pPr>
              <w:spacing w:after="20"/>
              <w:jc w:val="left"/>
            </w:pPr>
            <w:r/>
            <w:r>
              <w:rPr>
                <w:sz w:val="17"/>
              </w:rPr>
              <w:t>«276/2009 não se aplica a pecuária» (lido como 276/2001; confirmado em 14.10.2026)</w:t>
            </w:r>
          </w:p>
        </w:tc>
        <w:tc>
          <w:tcPr>
            <w:tcW w:type="dxa" w:w="907"/>
          </w:tcPr>
          <w:p>
            <w:pPr>
              <w:spacing w:after="20"/>
              <w:jc w:val="left"/>
            </w:pPr>
            <w:r/>
            <w:r>
              <w:rPr>
                <w:b/>
                <w:sz w:val="17"/>
              </w:rPr>
              <w:t>Sim</w:t>
            </w:r>
          </w:p>
        </w:tc>
        <w:tc>
          <w:tcPr>
            <w:tcW w:type="dxa" w:w="1077"/>
          </w:tcPr>
          <w:p>
            <w:pPr>
              <w:spacing w:after="20"/>
              <w:jc w:val="left"/>
            </w:pPr>
            <w:r/>
            <w:r>
              <w:rPr>
                <w:b/>
                <w:sz w:val="17"/>
              </w:rPr>
              <w:t>Não</w:t>
            </w:r>
          </w:p>
        </w:tc>
        <w:tc>
          <w:tcPr>
            <w:tcW w:type="dxa" w:w="7880"/>
          </w:tcPr>
          <w:p>
            <w:pPr>
              <w:spacing w:after="20"/>
              <w:jc w:val="left"/>
            </w:pPr>
            <w:r/>
            <w:r>
              <w:rPr>
                <w:sz w:val="17"/>
              </w:rPr>
              <w:t>Confirmado: o DL 276/2001 exclui do seu âmbito «os touros de lide e as espécies de pecuária» (art. 1.º, n.º 2). A definição de entidade coordenadora remete para a al. x) do art. 2.º desse diploma, que por isso não serve as tipologias B e C. Reforça a separação por módulos (análise, 3.4).</w:t>
            </w:r>
          </w:p>
        </w:tc>
      </w:tr>
      <w:tr>
        <w:tc>
          <w:tcPr>
            <w:tcW w:type="dxa" w:w="510"/>
          </w:tcPr>
          <w:p>
            <w:pPr>
              <w:spacing w:after="20"/>
              <w:jc w:val="left"/>
            </w:pPr>
            <w:r/>
            <w:r>
              <w:rPr>
                <w:sz w:val="17"/>
              </w:rPr>
              <w:t>22</w:t>
            </w:r>
          </w:p>
        </w:tc>
        <w:tc>
          <w:tcPr>
            <w:tcW w:type="dxa" w:w="1474"/>
          </w:tcPr>
          <w:p>
            <w:pPr>
              <w:spacing w:after="20"/>
              <w:jc w:val="left"/>
            </w:pPr>
            <w:r/>
            <w:r>
              <w:rPr>
                <w:sz w:val="17"/>
              </w:rPr>
              <w:t>p. 4, fundamento</w:t>
            </w:r>
          </w:p>
        </w:tc>
        <w:tc>
          <w:tcPr>
            <w:tcW w:type="dxa" w:w="2948"/>
          </w:tcPr>
          <w:p>
            <w:pPr>
              <w:spacing w:after="20"/>
              <w:jc w:val="left"/>
            </w:pPr>
            <w:r/>
            <w:r>
              <w:rPr>
                <w:sz w:val="17"/>
              </w:rPr>
              <w:t>«protege a entidade coordenadora…»: «só a protege neste cenário?»</w:t>
            </w:r>
          </w:p>
        </w:tc>
        <w:tc>
          <w:tcPr>
            <w:tcW w:type="dxa" w:w="907"/>
          </w:tcPr>
          <w:p>
            <w:pPr>
              <w:spacing w:after="20"/>
              <w:jc w:val="left"/>
            </w:pPr>
            <w:r/>
            <w:r>
              <w:rPr>
                <w:b/>
                <w:sz w:val="17"/>
              </w:rPr>
              <w:t>Sim</w:t>
            </w:r>
          </w:p>
        </w:tc>
        <w:tc>
          <w:tcPr>
            <w:tcW w:type="dxa" w:w="1077"/>
          </w:tcPr>
          <w:p>
            <w:pPr>
              <w:spacing w:after="20"/>
              <w:jc w:val="left"/>
            </w:pPr>
            <w:r/>
            <w:r>
              <w:rPr>
                <w:b/>
                <w:sz w:val="17"/>
              </w:rPr>
              <w:t>Sim</w:t>
            </w:r>
          </w:p>
        </w:tc>
        <w:tc>
          <w:tcPr>
            <w:tcW w:type="dxa" w:w="7880"/>
          </w:tcPr>
          <w:p>
            <w:pPr>
              <w:spacing w:after="20"/>
              <w:jc w:val="left"/>
            </w:pPr>
            <w:r/>
            <w:r>
              <w:rPr>
                <w:sz w:val="17"/>
              </w:rPr>
              <w:t>No cenário 2 a informação pública é do COS (SIOPS, art. 10.º, n.º 1, al. l)). Análise, 5.4, a).</w:t>
            </w:r>
          </w:p>
        </w:tc>
      </w:tr>
      <w:tr>
        <w:tc>
          <w:tcPr>
            <w:tcW w:type="dxa" w:w="510"/>
          </w:tcPr>
          <w:p>
            <w:pPr>
              <w:spacing w:after="20"/>
              <w:jc w:val="left"/>
            </w:pPr>
            <w:r/>
            <w:r>
              <w:rPr>
                <w:sz w:val="17"/>
              </w:rPr>
              <w:t>23</w:t>
            </w:r>
          </w:p>
        </w:tc>
        <w:tc>
          <w:tcPr>
            <w:tcW w:type="dxa" w:w="1474"/>
          </w:tcPr>
          <w:p>
            <w:pPr>
              <w:spacing w:after="20"/>
              <w:jc w:val="left"/>
            </w:pPr>
            <w:r/>
            <w:r>
              <w:rPr>
                <w:sz w:val="17"/>
              </w:rPr>
              <w:t>p. 4, ponto 5</w:t>
            </w:r>
          </w:p>
        </w:tc>
        <w:tc>
          <w:tcPr>
            <w:tcW w:type="dxa" w:w="2948"/>
          </w:tcPr>
          <w:p>
            <w:pPr>
              <w:spacing w:after="20"/>
              <w:jc w:val="left"/>
            </w:pPr>
            <w:r/>
            <w:r>
              <w:rPr>
                <w:sz w:val="17"/>
              </w:rPr>
              <w:t>«E o que significa convocação?»</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O termo não tem sentido jurídico definido aqui. O DL 116/98 fala em «convocação extraordinária por motivo urgente» no programa de contactos com os serviços regionais (art. 4.º, n.º 3). Para as associações é um convite. Deve dizer-se o que é: pedido escrito, com base legal, ao MVM e ao presidente da câmara.</w:t>
            </w:r>
          </w:p>
        </w:tc>
      </w:tr>
      <w:tr>
        <w:tc>
          <w:tcPr>
            <w:tcW w:type="dxa" w:w="510"/>
          </w:tcPr>
          <w:p>
            <w:pPr>
              <w:spacing w:after="20"/>
              <w:jc w:val="left"/>
            </w:pPr>
            <w:r/>
            <w:r>
              <w:rPr>
                <w:sz w:val="17"/>
              </w:rPr>
              <w:t>24</w:t>
            </w:r>
          </w:p>
        </w:tc>
        <w:tc>
          <w:tcPr>
            <w:tcW w:type="dxa" w:w="1474"/>
          </w:tcPr>
          <w:p>
            <w:pPr>
              <w:spacing w:after="20"/>
              <w:jc w:val="left"/>
            </w:pPr>
            <w:r/>
            <w:r>
              <w:rPr>
                <w:sz w:val="17"/>
              </w:rPr>
              <w:t>p. 4, nota dos proponentes, 1.ª parte</w:t>
            </w:r>
          </w:p>
        </w:tc>
        <w:tc>
          <w:tcPr>
            <w:tcW w:type="dxa" w:w="2948"/>
          </w:tcPr>
          <w:p>
            <w:pPr>
              <w:spacing w:after="20"/>
              <w:jc w:val="left"/>
            </w:pPr>
            <w:r/>
            <w:r>
              <w:rPr>
                <w:sz w:val="17"/>
              </w:rPr>
              <w:t>«Confirmar» (DL 116/98 sem competências em bem-estar animal)</w:t>
            </w:r>
          </w:p>
        </w:tc>
        <w:tc>
          <w:tcPr>
            <w:tcW w:type="dxa" w:w="907"/>
          </w:tcPr>
          <w:p>
            <w:pPr>
              <w:spacing w:after="20"/>
              <w:jc w:val="left"/>
            </w:pPr>
            <w:r/>
            <w:r>
              <w:rPr>
                <w:b/>
                <w:sz w:val="17"/>
              </w:rPr>
              <w:t>Em parte</w:t>
            </w:r>
          </w:p>
        </w:tc>
        <w:tc>
          <w:tcPr>
            <w:tcW w:type="dxa" w:w="1077"/>
          </w:tcPr>
          <w:p>
            <w:pPr>
              <w:spacing w:after="20"/>
              <w:jc w:val="left"/>
            </w:pPr>
            <w:r/>
            <w:r>
              <w:rPr>
                <w:b/>
                <w:sz w:val="17"/>
              </w:rPr>
              <w:t>Sim</w:t>
            </w:r>
          </w:p>
        </w:tc>
        <w:tc>
          <w:tcPr>
            <w:tcW w:type="dxa" w:w="7880"/>
          </w:tcPr>
          <w:p>
            <w:pPr>
              <w:spacing w:after="20"/>
              <w:jc w:val="left"/>
            </w:pPr>
            <w:r/>
            <w:r>
              <w:rPr>
                <w:sz w:val="17"/>
              </w:rPr>
              <w:t>Certo quanto aos poderes de autoridade sanitária, limitados à sanidade animal e à saúde pública (art. 2.º, n.º 3). Errado quanto ao dever de colaboração, que nomeia «saúde e bem-estar animal» (art. 3.º, n.º 1). Análise, 3.2.</w:t>
            </w:r>
          </w:p>
        </w:tc>
      </w:tr>
      <w:tr>
        <w:tc>
          <w:tcPr>
            <w:tcW w:type="dxa" w:w="510"/>
          </w:tcPr>
          <w:p>
            <w:pPr>
              <w:spacing w:after="20"/>
              <w:jc w:val="left"/>
            </w:pPr>
            <w:r/>
            <w:r>
              <w:rPr>
                <w:sz w:val="17"/>
              </w:rPr>
              <w:t>25</w:t>
            </w:r>
          </w:p>
        </w:tc>
        <w:tc>
          <w:tcPr>
            <w:tcW w:type="dxa" w:w="1474"/>
          </w:tcPr>
          <w:p>
            <w:pPr>
              <w:spacing w:after="20"/>
              <w:jc w:val="left"/>
            </w:pPr>
            <w:r/>
            <w:r>
              <w:rPr>
                <w:sz w:val="17"/>
              </w:rPr>
              <w:t>p. 4, nota dos proponentes, 2.ª parte</w:t>
            </w:r>
          </w:p>
        </w:tc>
        <w:tc>
          <w:tcPr>
            <w:tcW w:type="dxa" w:w="2948"/>
          </w:tcPr>
          <w:p>
            <w:pPr>
              <w:spacing w:after="20"/>
              <w:jc w:val="left"/>
            </w:pPr>
            <w:r/>
            <w:r>
              <w:rPr>
                <w:sz w:val="17"/>
              </w:rPr>
              <w:t>«Confirmar» (fundamento duplo; art. 3.º-G, n.º 6, e art. 19.º)</w:t>
            </w:r>
          </w:p>
        </w:tc>
        <w:tc>
          <w:tcPr>
            <w:tcW w:type="dxa" w:w="907"/>
          </w:tcPr>
          <w:p>
            <w:pPr>
              <w:spacing w:after="20"/>
              <w:jc w:val="left"/>
            </w:pPr>
            <w:r/>
            <w:r>
              <w:rPr>
                <w:b/>
                <w:sz w:val="17"/>
              </w:rPr>
              <w:t>Em parte</w:t>
            </w:r>
          </w:p>
        </w:tc>
        <w:tc>
          <w:tcPr>
            <w:tcW w:type="dxa" w:w="1077"/>
          </w:tcPr>
          <w:p>
            <w:pPr>
              <w:spacing w:after="20"/>
              <w:jc w:val="left"/>
            </w:pPr>
            <w:r/>
            <w:r>
              <w:rPr>
                <w:b/>
                <w:sz w:val="17"/>
              </w:rPr>
              <w:t>Sim</w:t>
            </w:r>
          </w:p>
        </w:tc>
        <w:tc>
          <w:tcPr>
            <w:tcW w:type="dxa" w:w="7880"/>
          </w:tcPr>
          <w:p>
            <w:pPr>
              <w:spacing w:after="20"/>
              <w:jc w:val="left"/>
            </w:pPr>
            <w:r/>
            <w:r>
              <w:rPr>
                <w:sz w:val="17"/>
              </w:rPr>
              <w:t>As normas existem, mas atribuem competências às câmaras municipais, não ao MVM. O papel próprio do MVM está no art. 4.º, n.º 3 (CRO), no art. 19.º, n.º 9, e na al. x) do art. 2.º do DL 276/2001. Análise, 3.2.</w:t>
            </w:r>
          </w:p>
        </w:tc>
      </w:tr>
      <w:tr>
        <w:tc>
          <w:tcPr>
            <w:tcW w:type="dxa" w:w="510"/>
          </w:tcPr>
          <w:p>
            <w:pPr>
              <w:spacing w:after="20"/>
              <w:jc w:val="left"/>
            </w:pPr>
            <w:r/>
            <w:r>
              <w:rPr>
                <w:sz w:val="17"/>
              </w:rPr>
              <w:t>26</w:t>
            </w:r>
          </w:p>
        </w:tc>
        <w:tc>
          <w:tcPr>
            <w:tcW w:type="dxa" w:w="1474"/>
          </w:tcPr>
          <w:p>
            <w:pPr>
              <w:spacing w:after="20"/>
              <w:jc w:val="left"/>
            </w:pPr>
            <w:r/>
            <w:r>
              <w:rPr>
                <w:sz w:val="17"/>
              </w:rPr>
              <w:t>p. 5, ponto 5.1.4</w:t>
            </w:r>
          </w:p>
        </w:tc>
        <w:tc>
          <w:tcPr>
            <w:tcW w:type="dxa" w:w="2948"/>
          </w:tcPr>
          <w:p>
            <w:pPr>
              <w:spacing w:after="20"/>
              <w:jc w:val="left"/>
            </w:pPr>
            <w:r/>
            <w:r>
              <w:rPr>
                <w:sz w:val="17"/>
              </w:rPr>
              <w:t>«médico veterinário municipal em funções»: «exclui veterinário contratado»</w:t>
            </w:r>
          </w:p>
        </w:tc>
        <w:tc>
          <w:tcPr>
            <w:tcW w:type="dxa" w:w="907"/>
          </w:tcPr>
          <w:p>
            <w:pPr>
              <w:spacing w:after="20"/>
              <w:jc w:val="left"/>
            </w:pPr>
            <w:r/>
            <w:r>
              <w:rPr>
                <w:b/>
                <w:sz w:val="17"/>
              </w:rPr>
              <w:t>Sim</w:t>
            </w:r>
          </w:p>
        </w:tc>
        <w:tc>
          <w:tcPr>
            <w:tcW w:type="dxa" w:w="1077"/>
          </w:tcPr>
          <w:p>
            <w:pPr>
              <w:spacing w:after="20"/>
              <w:jc w:val="left"/>
            </w:pPr>
            <w:r/>
            <w:r>
              <w:rPr>
                <w:b/>
                <w:sz w:val="17"/>
              </w:rPr>
              <w:t>Não</w:t>
            </w:r>
          </w:p>
        </w:tc>
        <w:tc>
          <w:tcPr>
            <w:tcW w:type="dxa" w:w="7880"/>
          </w:tcPr>
          <w:p>
            <w:pPr>
              <w:spacing w:after="20"/>
              <w:jc w:val="left"/>
            </w:pPr>
            <w:r/>
            <w:r>
              <w:rPr>
                <w:sz w:val="17"/>
              </w:rPr>
              <w:t>Muitos municípios têm médico veterinário contratado e não MVM de carreira. Esse veterinário não tem os poderes de autoridade sanitária, que são conferidos «por inerência de cargo» (DL 116/98, art. 2.º, n.º 3), mas é quem gere o CRO. A proposta salta-o e vai para o MVM do concelho vizinho. O projeto de RGAC já usa «MVM ou médico-veterinário do município» (art. 91.º, n.º 8).</w:t>
            </w:r>
          </w:p>
        </w:tc>
      </w:tr>
      <w:tr>
        <w:tc>
          <w:tcPr>
            <w:tcW w:type="dxa" w:w="510"/>
          </w:tcPr>
          <w:p>
            <w:pPr>
              <w:spacing w:after="20"/>
              <w:jc w:val="left"/>
            </w:pPr>
            <w:r/>
            <w:r>
              <w:rPr>
                <w:sz w:val="17"/>
              </w:rPr>
              <w:t>27</w:t>
            </w:r>
          </w:p>
        </w:tc>
        <w:tc>
          <w:tcPr>
            <w:tcW w:type="dxa" w:w="1474"/>
          </w:tcPr>
          <w:p>
            <w:pPr>
              <w:spacing w:after="20"/>
              <w:jc w:val="left"/>
            </w:pPr>
            <w:r/>
            <w:r>
              <w:rPr>
                <w:sz w:val="17"/>
              </w:rPr>
              <w:t>p. 5, ponto 5.1.4</w:t>
            </w:r>
          </w:p>
        </w:tc>
        <w:tc>
          <w:tcPr>
            <w:tcW w:type="dxa" w:w="2948"/>
          </w:tcPr>
          <w:p>
            <w:pPr>
              <w:spacing w:after="20"/>
              <w:jc w:val="left"/>
            </w:pPr>
            <w:r/>
            <w:r>
              <w:rPr>
                <w:sz w:val="17"/>
              </w:rPr>
              <w:t>«só a DGAV? Verificar 116/98»</w:t>
            </w:r>
          </w:p>
        </w:tc>
        <w:tc>
          <w:tcPr>
            <w:tcW w:type="dxa" w:w="907"/>
          </w:tcPr>
          <w:p>
            <w:pPr>
              <w:spacing w:after="20"/>
              <w:jc w:val="left"/>
            </w:pPr>
            <w:r/>
            <w:r>
              <w:rPr>
                <w:b/>
                <w:sz w:val="17"/>
              </w:rPr>
              <w:t>Em parte</w:t>
            </w:r>
          </w:p>
        </w:tc>
        <w:tc>
          <w:tcPr>
            <w:tcW w:type="dxa" w:w="1077"/>
          </w:tcPr>
          <w:p>
            <w:pPr>
              <w:spacing w:after="20"/>
              <w:jc w:val="left"/>
            </w:pPr>
            <w:r/>
            <w:r>
              <w:rPr>
                <w:b/>
                <w:sz w:val="17"/>
              </w:rPr>
              <w:t>Não</w:t>
            </w:r>
          </w:p>
        </w:tc>
        <w:tc>
          <w:tcPr>
            <w:tcW w:type="dxa" w:w="7880"/>
          </w:tcPr>
          <w:p>
            <w:pPr>
              <w:spacing w:after="20"/>
              <w:jc w:val="left"/>
            </w:pPr>
            <w:r/>
            <w:r>
              <w:rPr>
                <w:sz w:val="17"/>
              </w:rPr>
              <w:t>Verificado: a designação do substituto cabe à «autoridade sanitária veterinária nacional» (DL 116/98, art. 2.º, n.º 5), hoje a DGAV. Dois reparos: a norma prevê a «ausência ou impedimento» do MVM, não a falta de MVM no município; e o recurso final ao médico veterinário da DSAVR não está no DL 116/98 (vale só para competências da própria DGAV).</w:t>
            </w:r>
          </w:p>
        </w:tc>
      </w:tr>
      <w:tr>
        <w:tc>
          <w:tcPr>
            <w:tcW w:type="dxa" w:w="510"/>
          </w:tcPr>
          <w:p>
            <w:pPr>
              <w:spacing w:after="20"/>
              <w:jc w:val="left"/>
            </w:pPr>
            <w:r/>
            <w:r>
              <w:rPr>
                <w:sz w:val="17"/>
              </w:rPr>
              <w:t>28</w:t>
            </w:r>
          </w:p>
        </w:tc>
        <w:tc>
          <w:tcPr>
            <w:tcW w:type="dxa" w:w="1474"/>
          </w:tcPr>
          <w:p>
            <w:pPr>
              <w:spacing w:after="20"/>
              <w:jc w:val="left"/>
            </w:pPr>
            <w:r/>
            <w:r>
              <w:rPr>
                <w:sz w:val="17"/>
              </w:rPr>
              <w:t>p. 5, ponto 5.2.2</w:t>
            </w:r>
          </w:p>
        </w:tc>
        <w:tc>
          <w:tcPr>
            <w:tcW w:type="dxa" w:w="2948"/>
          </w:tcPr>
          <w:p>
            <w:pPr>
              <w:spacing w:after="20"/>
              <w:jc w:val="left"/>
            </w:pPr>
            <w:r/>
            <w:r>
              <w:rPr>
                <w:sz w:val="17"/>
              </w:rPr>
              <w:t>Posto de triagem «com condições de biossegurança»: «e bem-estar»</w:t>
            </w:r>
          </w:p>
        </w:tc>
        <w:tc>
          <w:tcPr>
            <w:tcW w:type="dxa" w:w="907"/>
          </w:tcPr>
          <w:p>
            <w:pPr>
              <w:spacing w:after="20"/>
              <w:jc w:val="left"/>
            </w:pPr>
            <w:r/>
            <w:r>
              <w:rPr>
                <w:b/>
                <w:sz w:val="17"/>
              </w:rPr>
              <w:t>Sim</w:t>
            </w:r>
          </w:p>
        </w:tc>
        <w:tc>
          <w:tcPr>
            <w:tcW w:type="dxa" w:w="1077"/>
          </w:tcPr>
          <w:p>
            <w:pPr>
              <w:spacing w:after="20"/>
              <w:jc w:val="left"/>
            </w:pPr>
            <w:r/>
            <w:r>
              <w:rPr>
                <w:b/>
                <w:sz w:val="17"/>
              </w:rPr>
              <w:t>Não</w:t>
            </w:r>
          </w:p>
        </w:tc>
        <w:tc>
          <w:tcPr>
            <w:tcW w:type="dxa" w:w="7880"/>
          </w:tcPr>
          <w:p>
            <w:pPr>
              <w:spacing w:after="20"/>
              <w:jc w:val="left"/>
            </w:pPr>
            <w:r/>
            <w:r>
              <w:rPr>
                <w:sz w:val="17"/>
              </w:rPr>
              <w:t>Correção simples e certa: o posto de triagem é um alojamento temporário e deve cumprir condições de bem-estar (DL 276/2001, arts. 7.º e seguintes).</w:t>
            </w:r>
          </w:p>
        </w:tc>
      </w:tr>
      <w:tr>
        <w:tc>
          <w:tcPr>
            <w:tcW w:type="dxa" w:w="510"/>
          </w:tcPr>
          <w:p>
            <w:pPr>
              <w:spacing w:after="20"/>
              <w:jc w:val="left"/>
            </w:pPr>
            <w:r/>
            <w:r>
              <w:rPr>
                <w:sz w:val="17"/>
              </w:rPr>
              <w:t>29</w:t>
            </w:r>
          </w:p>
        </w:tc>
        <w:tc>
          <w:tcPr>
            <w:tcW w:type="dxa" w:w="1474"/>
          </w:tcPr>
          <w:p>
            <w:pPr>
              <w:spacing w:after="20"/>
              <w:jc w:val="left"/>
            </w:pPr>
            <w:r/>
            <w:r>
              <w:rPr>
                <w:sz w:val="17"/>
              </w:rPr>
              <w:t>p. 5, pontos 5.2.3 e 5.2.4</w:t>
            </w:r>
          </w:p>
        </w:tc>
        <w:tc>
          <w:tcPr>
            <w:tcW w:type="dxa" w:w="2948"/>
          </w:tcPr>
          <w:p>
            <w:pPr>
              <w:spacing w:after="20"/>
              <w:jc w:val="left"/>
            </w:pPr>
            <w:r/>
            <w:r>
              <w:rPr>
                <w:sz w:val="17"/>
              </w:rPr>
              <w:t>«Enfermagem vet.?»</w:t>
            </w:r>
          </w:p>
        </w:tc>
        <w:tc>
          <w:tcPr>
            <w:tcW w:type="dxa" w:w="907"/>
          </w:tcPr>
          <w:p>
            <w:pPr>
              <w:spacing w:after="20"/>
              <w:jc w:val="left"/>
            </w:pPr>
            <w:r/>
            <w:r>
              <w:rPr>
                <w:b/>
                <w:sz w:val="17"/>
              </w:rPr>
              <w:t>Sim</w:t>
            </w:r>
          </w:p>
        </w:tc>
        <w:tc>
          <w:tcPr>
            <w:tcW w:type="dxa" w:w="1077"/>
          </w:tcPr>
          <w:p>
            <w:pPr>
              <w:spacing w:after="20"/>
              <w:jc w:val="left"/>
            </w:pPr>
            <w:r/>
            <w:r>
              <w:rPr>
                <w:b/>
                <w:sz w:val="17"/>
              </w:rPr>
              <w:t>Não</w:t>
            </w:r>
          </w:p>
        </w:tc>
        <w:tc>
          <w:tcPr>
            <w:tcW w:type="dxa" w:w="7880"/>
          </w:tcPr>
          <w:p>
            <w:pPr>
              <w:spacing w:after="20"/>
              <w:jc w:val="left"/>
            </w:pPr>
            <w:r/>
            <w:r>
              <w:rPr>
                <w:sz w:val="17"/>
              </w:rPr>
              <w:t>A observação clínica é ato do médico veterinário, mas a equipa deve contar com enfermeiros ou auxiliares veterinários para contenção, maneio e registo. A proposta só dimensiona médicos veterinários.</w:t>
            </w:r>
          </w:p>
        </w:tc>
      </w:tr>
      <w:tr>
        <w:tc>
          <w:tcPr>
            <w:tcW w:type="dxa" w:w="510"/>
          </w:tcPr>
          <w:p>
            <w:pPr>
              <w:spacing w:after="20"/>
              <w:jc w:val="left"/>
            </w:pPr>
            <w:r/>
            <w:r>
              <w:rPr>
                <w:sz w:val="17"/>
              </w:rPr>
              <w:t>30</w:t>
            </w:r>
          </w:p>
        </w:tc>
        <w:tc>
          <w:tcPr>
            <w:tcW w:type="dxa" w:w="1474"/>
          </w:tcPr>
          <w:p>
            <w:pPr>
              <w:spacing w:after="20"/>
              <w:jc w:val="left"/>
            </w:pPr>
            <w:r/>
            <w:r>
              <w:rPr>
                <w:sz w:val="17"/>
              </w:rPr>
              <w:t>p. 5, ponto 5.2.4</w:t>
            </w:r>
          </w:p>
        </w:tc>
        <w:tc>
          <w:tcPr>
            <w:tcW w:type="dxa" w:w="2948"/>
          </w:tcPr>
          <w:p>
            <w:pPr>
              <w:spacing w:after="20"/>
              <w:jc w:val="left"/>
            </w:pPr>
            <w:r/>
            <w:r>
              <w:rPr>
                <w:sz w:val="17"/>
              </w:rPr>
              <w:t>Observação individual antes da saída: «Incompatível com resgate de emergência?»</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No socorro a prioridade é tirar o animal do perigo. A triagem faz-se na zona de concentração de acolhimento de animais, que a lei define para «acomodação, salvamento e triagem» (SIOPS, art. 13.º, al. d)). A análise disse que o modelo A não serve o B (5.4, d)), sem apontar este ponto.</w:t>
            </w:r>
          </w:p>
        </w:tc>
      </w:tr>
      <w:tr>
        <w:tc>
          <w:tcPr>
            <w:tcW w:type="dxa" w:w="510"/>
          </w:tcPr>
          <w:p>
            <w:pPr>
              <w:spacing w:after="20"/>
              <w:jc w:val="left"/>
            </w:pPr>
            <w:r/>
            <w:r>
              <w:rPr>
                <w:sz w:val="17"/>
              </w:rPr>
              <w:t>31</w:t>
            </w:r>
          </w:p>
        </w:tc>
        <w:tc>
          <w:tcPr>
            <w:tcW w:type="dxa" w:w="1474"/>
          </w:tcPr>
          <w:p>
            <w:pPr>
              <w:spacing w:after="20"/>
              <w:jc w:val="left"/>
            </w:pPr>
            <w:r/>
            <w:r>
              <w:rPr>
                <w:sz w:val="17"/>
              </w:rPr>
              <w:t>p. 5, ponto 6.1</w:t>
            </w:r>
          </w:p>
        </w:tc>
        <w:tc>
          <w:tcPr>
            <w:tcW w:type="dxa" w:w="2948"/>
          </w:tcPr>
          <w:p>
            <w:pPr>
              <w:spacing w:after="20"/>
              <w:jc w:val="left"/>
            </w:pPr>
            <w:r/>
            <w:r>
              <w:rPr>
                <w:sz w:val="17"/>
              </w:rPr>
              <w:t>«quando não está disponível?» e «só vets com CAMV?»</w:t>
            </w:r>
          </w:p>
        </w:tc>
        <w:tc>
          <w:tcPr>
            <w:tcW w:type="dxa" w:w="907"/>
          </w:tcPr>
          <w:p>
            <w:pPr>
              <w:spacing w:after="20"/>
              <w:jc w:val="left"/>
            </w:pPr>
            <w:r/>
            <w:r>
              <w:rPr>
                <w:b/>
                <w:sz w:val="17"/>
              </w:rPr>
              <w:t>Sim</w:t>
            </w:r>
          </w:p>
        </w:tc>
        <w:tc>
          <w:tcPr>
            <w:tcW w:type="dxa" w:w="1077"/>
          </w:tcPr>
          <w:p>
            <w:pPr>
              <w:spacing w:after="20"/>
              <w:jc w:val="left"/>
            </w:pPr>
            <w:r/>
            <w:r>
              <w:rPr>
                <w:b/>
                <w:sz w:val="17"/>
              </w:rPr>
              <w:t>Não</w:t>
            </w:r>
          </w:p>
        </w:tc>
        <w:tc>
          <w:tcPr>
            <w:tcW w:type="dxa" w:w="7880"/>
          </w:tcPr>
          <w:p>
            <w:pPr>
              <w:spacing w:after="20"/>
              <w:jc w:val="left"/>
            </w:pPr>
            <w:r/>
            <w:r>
              <w:rPr>
                <w:sz w:val="17"/>
              </w:rPr>
              <w:t>1.ª parte: «indelegável» sem regra de substituição; numa operação longa o responsável clínico tem de ser substituível. 2.ª parte (esclarecida em 14.10.2026): pôr a responsabilidade clínica num médico veterinário sem CAMV é inviável. A assistência urgente (6.2) exige instalações, a eutanásia de animais de companhia só pode ser feita em CRO ou CAMV (Lei 27/2016, art. 3.º, n.º 6) e a rede P.A.R.A. está em constituição.</w:t>
            </w:r>
          </w:p>
        </w:tc>
      </w:tr>
      <w:tr>
        <w:tc>
          <w:tcPr>
            <w:tcW w:type="dxa" w:w="510"/>
          </w:tcPr>
          <w:p>
            <w:pPr>
              <w:spacing w:after="20"/>
              <w:jc w:val="left"/>
            </w:pPr>
            <w:r/>
            <w:r>
              <w:rPr>
                <w:sz w:val="17"/>
              </w:rPr>
              <w:t>32</w:t>
            </w:r>
          </w:p>
        </w:tc>
        <w:tc>
          <w:tcPr>
            <w:tcW w:type="dxa" w:w="1474"/>
          </w:tcPr>
          <w:p>
            <w:pPr>
              <w:spacing w:after="20"/>
              <w:jc w:val="left"/>
            </w:pPr>
            <w:r/>
            <w:r>
              <w:rPr>
                <w:sz w:val="17"/>
              </w:rPr>
              <w:t>p. 6, ponto 6.6</w:t>
            </w:r>
          </w:p>
        </w:tc>
        <w:tc>
          <w:tcPr>
            <w:tcW w:type="dxa" w:w="2948"/>
          </w:tcPr>
          <w:p>
            <w:pPr>
              <w:spacing w:after="20"/>
              <w:jc w:val="left"/>
            </w:pPr>
            <w:r/>
            <w:r>
              <w:rPr>
                <w:sz w:val="17"/>
              </w:rPr>
              <w:t>«Eutanásia?»</w:t>
            </w:r>
          </w:p>
        </w:tc>
        <w:tc>
          <w:tcPr>
            <w:tcW w:type="dxa" w:w="907"/>
          </w:tcPr>
          <w:p>
            <w:pPr>
              <w:spacing w:after="20"/>
              <w:jc w:val="left"/>
            </w:pPr>
            <w:r/>
            <w:r>
              <w:rPr>
                <w:b/>
                <w:sz w:val="17"/>
              </w:rPr>
              <w:t>Sim</w:t>
            </w:r>
          </w:p>
        </w:tc>
        <w:tc>
          <w:tcPr>
            <w:tcW w:type="dxa" w:w="1077"/>
          </w:tcPr>
          <w:p>
            <w:pPr>
              <w:spacing w:after="20"/>
              <w:jc w:val="left"/>
            </w:pPr>
            <w:r/>
            <w:r>
              <w:rPr>
                <w:b/>
                <w:sz w:val="17"/>
              </w:rPr>
              <w:t>Não (fora do foco)</w:t>
            </w:r>
          </w:p>
        </w:tc>
        <w:tc>
          <w:tcPr>
            <w:tcW w:type="dxa" w:w="7880"/>
          </w:tcPr>
          <w:p>
            <w:pPr>
              <w:spacing w:after="20"/>
              <w:jc w:val="left"/>
            </w:pPr>
            <w:r/>
            <w:r>
              <w:rPr>
                <w:sz w:val="17"/>
              </w:rPr>
              <w:t>A «decisão fundamentada» do DL 142/2006 corresponde, na tabela da própria proposta, a «retirada e destruição» de animais de produção sem rastreabilidade. O n.º 7, no texto original de 2006, permite «determinar a destruição da carcaça ou do animal sem qualquer compensação para o seu detentor»: é occisão, não eutanásia por indicação clínica. Não se aplica a animais de companhia. Redação atual do n.º 7 por conferir.</w:t>
            </w:r>
          </w:p>
        </w:tc>
      </w:tr>
      <w:tr>
        <w:tc>
          <w:tcPr>
            <w:tcW w:type="dxa" w:w="510"/>
          </w:tcPr>
          <w:p>
            <w:pPr>
              <w:spacing w:after="20"/>
              <w:jc w:val="left"/>
            </w:pPr>
            <w:r/>
            <w:r>
              <w:rPr>
                <w:sz w:val="17"/>
              </w:rPr>
              <w:t>33</w:t>
            </w:r>
          </w:p>
        </w:tc>
        <w:tc>
          <w:tcPr>
            <w:tcW w:type="dxa" w:w="1474"/>
          </w:tcPr>
          <w:p>
            <w:pPr>
              <w:spacing w:after="20"/>
              <w:jc w:val="left"/>
            </w:pPr>
            <w:r/>
            <w:r>
              <w:rPr>
                <w:sz w:val="17"/>
              </w:rPr>
              <w:t>p. 6, ponto 6.7</w:t>
            </w:r>
          </w:p>
        </w:tc>
        <w:tc>
          <w:tcPr>
            <w:tcW w:type="dxa" w:w="2948"/>
          </w:tcPr>
          <w:p>
            <w:pPr>
              <w:spacing w:after="20"/>
              <w:jc w:val="left"/>
            </w:pPr>
            <w:r/>
            <w:r>
              <w:rPr>
                <w:sz w:val="17"/>
              </w:rPr>
              <w:t>«destino de animais de companhia?»</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O ponto só remete para o Regulamento (CE) n.º 1069/2009. Para animais de companhia falta dizer o destino do cadáver (o regulamento trata-os como subprodutos e admite exceções para animais de companhia; redação a conferir) e, havendo processo penal, a necropsia antes da eliminação (CPP, art. 159.º-A). A análise tratou a prova na eutanásia (4.4, f)).</w:t>
            </w:r>
          </w:p>
        </w:tc>
      </w:tr>
      <w:tr>
        <w:tc>
          <w:tcPr>
            <w:tcW w:type="dxa" w:w="510"/>
          </w:tcPr>
          <w:p>
            <w:pPr>
              <w:spacing w:after="20"/>
              <w:jc w:val="left"/>
            </w:pPr>
            <w:r/>
            <w:r>
              <w:rPr>
                <w:sz w:val="17"/>
              </w:rPr>
              <w:t>34</w:t>
            </w:r>
          </w:p>
        </w:tc>
        <w:tc>
          <w:tcPr>
            <w:tcW w:type="dxa" w:w="1474"/>
          </w:tcPr>
          <w:p>
            <w:pPr>
              <w:spacing w:after="20"/>
              <w:jc w:val="left"/>
            </w:pPr>
            <w:r/>
            <w:r>
              <w:rPr>
                <w:sz w:val="17"/>
              </w:rPr>
              <w:t>p. 6, ponto 7.1</w:t>
            </w:r>
          </w:p>
        </w:tc>
        <w:tc>
          <w:tcPr>
            <w:tcW w:type="dxa" w:w="2948"/>
          </w:tcPr>
          <w:p>
            <w:pPr>
              <w:spacing w:after="20"/>
              <w:jc w:val="left"/>
            </w:pPr>
            <w:r/>
            <w:r>
              <w:rPr>
                <w:sz w:val="17"/>
              </w:rPr>
              <w:t>«não pode ser este o único destino»</w:t>
            </w:r>
          </w:p>
        </w:tc>
        <w:tc>
          <w:tcPr>
            <w:tcW w:type="dxa" w:w="907"/>
          </w:tcPr>
          <w:p>
            <w:pPr>
              <w:spacing w:after="20"/>
              <w:jc w:val="left"/>
            </w:pPr>
            <w:r/>
            <w:r>
              <w:rPr>
                <w:b/>
                <w:sz w:val="17"/>
              </w:rPr>
              <w:t>Sim</w:t>
            </w:r>
          </w:p>
        </w:tc>
        <w:tc>
          <w:tcPr>
            <w:tcW w:type="dxa" w:w="1077"/>
          </w:tcPr>
          <w:p>
            <w:pPr>
              <w:spacing w:after="20"/>
              <w:jc w:val="left"/>
            </w:pPr>
            <w:r/>
            <w:r>
              <w:rPr>
                <w:b/>
                <w:sz w:val="17"/>
              </w:rPr>
              <w:t>Sim</w:t>
            </w:r>
          </w:p>
        </w:tc>
        <w:tc>
          <w:tcPr>
            <w:tcW w:type="dxa" w:w="7880"/>
          </w:tcPr>
          <w:p>
            <w:pPr>
              <w:spacing w:after="20"/>
              <w:jc w:val="left"/>
            </w:pPr>
            <w:r/>
            <w:r>
              <w:rPr>
                <w:sz w:val="17"/>
              </w:rPr>
              <w:t>Além do CRO: depositário idóneo (CPP, art. 178.º, n.º 2), detentor como fiel depositário (RJCE, art. 49.º, n.º 3), outro destino escolhido pelo detentor (DL 314/2003, art. 3.º, n.º 5). Análise, 4.4, b) e d).</w:t>
            </w:r>
          </w:p>
        </w:tc>
      </w:tr>
      <w:tr>
        <w:tc>
          <w:tcPr>
            <w:tcW w:type="dxa" w:w="510"/>
          </w:tcPr>
          <w:p>
            <w:pPr>
              <w:spacing w:after="20"/>
              <w:jc w:val="left"/>
            </w:pPr>
            <w:r/>
            <w:r>
              <w:rPr>
                <w:sz w:val="17"/>
              </w:rPr>
              <w:t>35</w:t>
            </w:r>
          </w:p>
        </w:tc>
        <w:tc>
          <w:tcPr>
            <w:tcW w:type="dxa" w:w="1474"/>
          </w:tcPr>
          <w:p>
            <w:pPr>
              <w:spacing w:after="20"/>
              <w:jc w:val="left"/>
            </w:pPr>
            <w:r/>
            <w:r>
              <w:rPr>
                <w:sz w:val="17"/>
              </w:rPr>
              <w:t>p. 6, ponto 7.7</w:t>
            </w:r>
          </w:p>
        </w:tc>
        <w:tc>
          <w:tcPr>
            <w:tcW w:type="dxa" w:w="2948"/>
          </w:tcPr>
          <w:p>
            <w:pPr>
              <w:spacing w:after="20"/>
              <w:jc w:val="left"/>
            </w:pPr>
            <w:r/>
            <w:r>
              <w:rPr>
                <w:sz w:val="17"/>
              </w:rPr>
              <w:t>Sublinhado em «à entidade responsável»</w:t>
            </w:r>
          </w:p>
        </w:tc>
        <w:tc>
          <w:tcPr>
            <w:tcW w:type="dxa" w:w="907"/>
          </w:tcPr>
          <w:p>
            <w:pPr>
              <w:spacing w:after="20"/>
              <w:jc w:val="left"/>
            </w:pPr>
            <w:r/>
            <w:r>
              <w:rPr>
                <w:b/>
                <w:sz w:val="17"/>
              </w:rPr>
              <w:t>Sim</w:t>
            </w:r>
          </w:p>
        </w:tc>
        <w:tc>
          <w:tcPr>
            <w:tcW w:type="dxa" w:w="1077"/>
          </w:tcPr>
          <w:p>
            <w:pPr>
              <w:spacing w:after="20"/>
              <w:jc w:val="left"/>
            </w:pPr>
            <w:r/>
            <w:r>
              <w:rPr>
                <w:b/>
                <w:sz w:val="17"/>
              </w:rPr>
              <w:t>Sim</w:t>
            </w:r>
          </w:p>
        </w:tc>
        <w:tc>
          <w:tcPr>
            <w:tcW w:type="dxa" w:w="7880"/>
          </w:tcPr>
          <w:p>
            <w:pPr>
              <w:spacing w:after="20"/>
              <w:jc w:val="left"/>
            </w:pPr>
            <w:r/>
            <w:r>
              <w:rPr>
                <w:sz w:val="17"/>
              </w:rPr>
              <w:t>A entidade não é identificada. Análise, 4.4, k).</w:t>
            </w:r>
          </w:p>
        </w:tc>
      </w:tr>
      <w:tr>
        <w:tc>
          <w:tcPr>
            <w:tcW w:type="dxa" w:w="510"/>
          </w:tcPr>
          <w:p>
            <w:pPr>
              <w:spacing w:after="20"/>
              <w:jc w:val="left"/>
            </w:pPr>
            <w:r/>
            <w:r>
              <w:rPr>
                <w:sz w:val="17"/>
              </w:rPr>
              <w:t>36</w:t>
            </w:r>
          </w:p>
        </w:tc>
        <w:tc>
          <w:tcPr>
            <w:tcW w:type="dxa" w:w="1474"/>
          </w:tcPr>
          <w:p>
            <w:pPr>
              <w:spacing w:after="20"/>
              <w:jc w:val="left"/>
            </w:pPr>
            <w:r/>
            <w:r>
              <w:rPr>
                <w:sz w:val="17"/>
              </w:rPr>
              <w:t>p. 7, ponto 8.5</w:t>
            </w:r>
          </w:p>
        </w:tc>
        <w:tc>
          <w:tcPr>
            <w:tcW w:type="dxa" w:w="2948"/>
          </w:tcPr>
          <w:p>
            <w:pPr>
              <w:spacing w:after="20"/>
              <w:jc w:val="left"/>
            </w:pPr>
            <w:r/>
            <w:r>
              <w:rPr>
                <w:sz w:val="17"/>
              </w:rPr>
              <w:t>«Outra vez?»</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Repete o princípio 5 e os pontos 8.1 a 8.4. A análise criticou a linguagem (4.4, h)), não a repetição.</w:t>
            </w:r>
          </w:p>
        </w:tc>
      </w:tr>
      <w:tr>
        <w:tc>
          <w:tcPr>
            <w:tcW w:type="dxa" w:w="510"/>
          </w:tcPr>
          <w:p>
            <w:pPr>
              <w:spacing w:after="20"/>
              <w:jc w:val="left"/>
            </w:pPr>
            <w:r/>
            <w:r>
              <w:rPr>
                <w:sz w:val="17"/>
              </w:rPr>
              <w:t>37</w:t>
            </w:r>
          </w:p>
        </w:tc>
        <w:tc>
          <w:tcPr>
            <w:tcW w:type="dxa" w:w="1474"/>
          </w:tcPr>
          <w:p>
            <w:pPr>
              <w:spacing w:after="20"/>
              <w:jc w:val="left"/>
            </w:pPr>
            <w:r/>
            <w:r>
              <w:rPr>
                <w:sz w:val="17"/>
              </w:rPr>
              <w:t>p. 7, ponto 8.8</w:t>
            </w:r>
          </w:p>
        </w:tc>
        <w:tc>
          <w:tcPr>
            <w:tcW w:type="dxa" w:w="2948"/>
          </w:tcPr>
          <w:p>
            <w:pPr>
              <w:spacing w:after="20"/>
              <w:jc w:val="left"/>
            </w:pPr>
            <w:r/>
            <w:r>
              <w:rPr>
                <w:sz w:val="17"/>
              </w:rPr>
              <w:t>«quem determina?»</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O 8.8 fala em «exclusão» e remete para o 9.5, que fala em «suspensão» decidida pela DGAV. Dois termos para o mesmo efeito, e nada se diz quando a coordenadora não é a DGAV. A análise tratou a falta de base legal (4.4, g)).</w:t>
            </w:r>
          </w:p>
        </w:tc>
      </w:tr>
      <w:tr>
        <w:tc>
          <w:tcPr>
            <w:tcW w:type="dxa" w:w="510"/>
          </w:tcPr>
          <w:p>
            <w:pPr>
              <w:spacing w:after="20"/>
              <w:jc w:val="left"/>
            </w:pPr>
            <w:r/>
            <w:r>
              <w:rPr>
                <w:sz w:val="17"/>
              </w:rPr>
              <w:t>38</w:t>
            </w:r>
          </w:p>
        </w:tc>
        <w:tc>
          <w:tcPr>
            <w:tcW w:type="dxa" w:w="1474"/>
          </w:tcPr>
          <w:p>
            <w:pPr>
              <w:spacing w:after="20"/>
              <w:jc w:val="left"/>
            </w:pPr>
            <w:r/>
            <w:r>
              <w:rPr>
                <w:sz w:val="17"/>
              </w:rPr>
              <w:t>p. 7, ponto 9.1, transporte</w:t>
            </w:r>
          </w:p>
        </w:tc>
        <w:tc>
          <w:tcPr>
            <w:tcW w:type="dxa" w:w="2948"/>
          </w:tcPr>
          <w:p>
            <w:pPr>
              <w:spacing w:after="20"/>
              <w:jc w:val="left"/>
            </w:pPr>
            <w:r/>
            <w:r>
              <w:rPr>
                <w:sz w:val="17"/>
              </w:rPr>
              <w:t>«verificar que critérios se aplicam aos animais de companhia»</w:t>
            </w:r>
          </w:p>
        </w:tc>
        <w:tc>
          <w:tcPr>
            <w:tcW w:type="dxa" w:w="907"/>
          </w:tcPr>
          <w:p>
            <w:pPr>
              <w:spacing w:after="20"/>
              <w:jc w:val="left"/>
            </w:pPr>
            <w:r/>
            <w:r>
              <w:rPr>
                <w:b/>
                <w:sz w:val="17"/>
              </w:rPr>
              <w:t>Sim</w:t>
            </w:r>
          </w:p>
        </w:tc>
        <w:tc>
          <w:tcPr>
            <w:tcW w:type="dxa" w:w="1077"/>
          </w:tcPr>
          <w:p>
            <w:pPr>
              <w:spacing w:after="20"/>
              <w:jc w:val="left"/>
            </w:pPr>
            <w:r/>
            <w:r>
              <w:rPr>
                <w:b/>
                <w:sz w:val="17"/>
              </w:rPr>
              <w:t>Não</w:t>
            </w:r>
          </w:p>
        </w:tc>
        <w:tc>
          <w:tcPr>
            <w:tcW w:type="dxa" w:w="7880"/>
          </w:tcPr>
          <w:p>
            <w:pPr>
              <w:spacing w:after="20"/>
              <w:jc w:val="left"/>
            </w:pPr>
            <w:r/>
            <w:r>
              <w:rPr>
                <w:sz w:val="17"/>
              </w:rPr>
              <w:t>A autorização de transportador vem do DL 265/2007, que executa o Regulamento (CE) n.º 1/2005. Esse regulamento não se aplica ao transporte que não seja feito no âmbito de uma atividade económica nem ao transporte direto para clínicas ou consultórios veterinários por indicação de um médico veterinário (art. 1.º, n.º 5, conferido na versão inglesa adotada), como o de animais retirados por autoridades ou associações. Para animais de companhia, o critério vigente é o do DL 276/2001, art. 10.º, n.º 1 (veículos e contentores apropriados à espécie e ao número).</w:t>
            </w:r>
          </w:p>
        </w:tc>
      </w:tr>
      <w:tr>
        <w:tc>
          <w:tcPr>
            <w:tcW w:type="dxa" w:w="510"/>
          </w:tcPr>
          <w:p>
            <w:pPr>
              <w:spacing w:after="20"/>
              <w:jc w:val="left"/>
            </w:pPr>
            <w:r/>
            <w:r>
              <w:rPr>
                <w:sz w:val="17"/>
              </w:rPr>
              <w:t>39</w:t>
            </w:r>
          </w:p>
        </w:tc>
        <w:tc>
          <w:tcPr>
            <w:tcW w:type="dxa" w:w="1474"/>
          </w:tcPr>
          <w:p>
            <w:pPr>
              <w:spacing w:after="20"/>
              <w:jc w:val="left"/>
            </w:pPr>
            <w:r/>
            <w:r>
              <w:rPr>
                <w:sz w:val="17"/>
              </w:rPr>
              <w:t>p. 7, ponto 9.2, seguro</w:t>
            </w:r>
          </w:p>
        </w:tc>
        <w:tc>
          <w:tcPr>
            <w:tcW w:type="dxa" w:w="2948"/>
          </w:tcPr>
          <w:p>
            <w:pPr>
              <w:spacing w:after="20"/>
              <w:jc w:val="left"/>
            </w:pPr>
            <w:r/>
            <w:r>
              <w:rPr>
                <w:sz w:val="17"/>
              </w:rPr>
              <w:t>«as entidades ficam com encargo adicional?»</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Sim. O seguro dos voluntários já é obrigatório para as OVPC (Portaria 91/2017, art. 5.º, n.º 4, al. l)); o seguro de responsabilidade civil para resgate, maneio e transporte é custo novo, sem fonte de financiamento. A análise disse que os requisitos podem afastar capacidade (4.4, g)).</w:t>
            </w:r>
          </w:p>
        </w:tc>
      </w:tr>
      <w:tr>
        <w:tc>
          <w:tcPr>
            <w:tcW w:type="dxa" w:w="510"/>
          </w:tcPr>
          <w:p>
            <w:pPr>
              <w:spacing w:after="20"/>
              <w:jc w:val="left"/>
            </w:pPr>
            <w:r/>
            <w:r>
              <w:rPr>
                <w:sz w:val="17"/>
              </w:rPr>
              <w:t>40</w:t>
            </w:r>
          </w:p>
        </w:tc>
        <w:tc>
          <w:tcPr>
            <w:tcW w:type="dxa" w:w="1474"/>
          </w:tcPr>
          <w:p>
            <w:pPr>
              <w:spacing w:after="20"/>
              <w:jc w:val="left"/>
            </w:pPr>
            <w:r/>
            <w:r>
              <w:rPr>
                <w:sz w:val="17"/>
              </w:rPr>
              <w:t>p. 7, ponto 9.3</w:t>
            </w:r>
          </w:p>
        </w:tc>
        <w:tc>
          <w:tcPr>
            <w:tcW w:type="dxa" w:w="2948"/>
          </w:tcPr>
          <w:p>
            <w:pPr>
              <w:spacing w:after="20"/>
              <w:jc w:val="left"/>
            </w:pPr>
            <w:r/>
            <w:r>
              <w:rPr>
                <w:sz w:val="17"/>
              </w:rPr>
              <w:t>«atualizada anualmente! qual procedimento?»</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Não há procedimento: quem pede, quem verifica, em que prazo, com que recurso. A análise tratou a base legal da lista (4.4, g)).</w:t>
            </w:r>
          </w:p>
        </w:tc>
      </w:tr>
      <w:tr>
        <w:tc>
          <w:tcPr>
            <w:tcW w:type="dxa" w:w="510"/>
          </w:tcPr>
          <w:p>
            <w:pPr>
              <w:spacing w:after="20"/>
              <w:jc w:val="left"/>
            </w:pPr>
            <w:r/>
            <w:r>
              <w:rPr>
                <w:sz w:val="17"/>
              </w:rPr>
              <w:t>41</w:t>
            </w:r>
          </w:p>
        </w:tc>
        <w:tc>
          <w:tcPr>
            <w:tcW w:type="dxa" w:w="1474"/>
          </w:tcPr>
          <w:p>
            <w:pPr>
              <w:spacing w:after="20"/>
              <w:jc w:val="left"/>
            </w:pPr>
            <w:r/>
            <w:r>
              <w:rPr>
                <w:sz w:val="17"/>
              </w:rPr>
              <w:t>p. 8, ponto 10.2</w:t>
            </w:r>
          </w:p>
        </w:tc>
        <w:tc>
          <w:tcPr>
            <w:tcW w:type="dxa" w:w="2948"/>
          </w:tcPr>
          <w:p>
            <w:pPr>
              <w:spacing w:after="20"/>
              <w:jc w:val="left"/>
            </w:pPr>
            <w:r/>
            <w:r>
              <w:rPr>
                <w:sz w:val="17"/>
              </w:rPr>
              <w:t>Relatório ao MVM e à câmara: «Porquê?»</w:t>
            </w:r>
          </w:p>
        </w:tc>
        <w:tc>
          <w:tcPr>
            <w:tcW w:type="dxa" w:w="907"/>
          </w:tcPr>
          <w:p>
            <w:pPr>
              <w:spacing w:after="20"/>
              <w:jc w:val="left"/>
            </w:pPr>
            <w:r/>
            <w:r>
              <w:rPr>
                <w:b/>
                <w:sz w:val="17"/>
              </w:rPr>
              <w:t>Em parte</w:t>
            </w:r>
          </w:p>
        </w:tc>
        <w:tc>
          <w:tcPr>
            <w:tcW w:type="dxa" w:w="1077"/>
          </w:tcPr>
          <w:p>
            <w:pPr>
              <w:spacing w:after="20"/>
              <w:jc w:val="left"/>
            </w:pPr>
            <w:r/>
            <w:r>
              <w:rPr>
                <w:b/>
                <w:sz w:val="17"/>
              </w:rPr>
              <w:t>Não</w:t>
            </w:r>
          </w:p>
        </w:tc>
        <w:tc>
          <w:tcPr>
            <w:tcW w:type="dxa" w:w="7880"/>
          </w:tcPr>
          <w:p>
            <w:pPr>
              <w:spacing w:after="20"/>
              <w:jc w:val="left"/>
            </w:pPr>
            <w:r/>
            <w:r>
              <w:rPr>
                <w:sz w:val="17"/>
              </w:rPr>
              <w:t>Há razão para os enviar (CRO, art. 3.º-G, n.º 6, encargos), mas não sempre nem por inteiro. Havendo processo penal, a distribuição tem de respeitar o segredo de justiça e a proteção de dados. Deve ser por necessidade.</w:t>
            </w:r>
          </w:p>
        </w:tc>
      </w:tr>
      <w:tr>
        <w:tc>
          <w:tcPr>
            <w:tcW w:type="dxa" w:w="510"/>
          </w:tcPr>
          <w:p>
            <w:pPr>
              <w:spacing w:after="20"/>
              <w:jc w:val="left"/>
            </w:pPr>
            <w:r/>
            <w:r>
              <w:rPr>
                <w:sz w:val="17"/>
              </w:rPr>
              <w:t>42</w:t>
            </w:r>
          </w:p>
        </w:tc>
        <w:tc>
          <w:tcPr>
            <w:tcW w:type="dxa" w:w="1474"/>
          </w:tcPr>
          <w:p>
            <w:pPr>
              <w:spacing w:after="20"/>
              <w:jc w:val="left"/>
            </w:pPr>
            <w:r/>
            <w:r>
              <w:rPr>
                <w:sz w:val="17"/>
              </w:rPr>
              <w:t>p. 8, ponto 10.2</w:t>
            </w:r>
          </w:p>
        </w:tc>
        <w:tc>
          <w:tcPr>
            <w:tcW w:type="dxa" w:w="2948"/>
          </w:tcPr>
          <w:p>
            <w:pPr>
              <w:spacing w:after="20"/>
              <w:jc w:val="left"/>
            </w:pPr>
            <w:r/>
            <w:r>
              <w:rPr>
                <w:sz w:val="17"/>
              </w:rPr>
              <w:t>Comissão municipal de proteção civil nas operações de socorro: «Verificar»</w:t>
            </w:r>
          </w:p>
        </w:tc>
        <w:tc>
          <w:tcPr>
            <w:tcW w:type="dxa" w:w="907"/>
          </w:tcPr>
          <w:p>
            <w:pPr>
              <w:spacing w:after="20"/>
              <w:jc w:val="left"/>
            </w:pPr>
            <w:r/>
            <w:r>
              <w:rPr>
                <w:b/>
                <w:sz w:val="17"/>
              </w:rPr>
              <w:t>Sim</w:t>
            </w:r>
          </w:p>
        </w:tc>
        <w:tc>
          <w:tcPr>
            <w:tcW w:type="dxa" w:w="1077"/>
          </w:tcPr>
          <w:p>
            <w:pPr>
              <w:spacing w:after="20"/>
              <w:jc w:val="left"/>
            </w:pPr>
            <w:r/>
            <w:r>
              <w:rPr>
                <w:b/>
                <w:sz w:val="17"/>
              </w:rPr>
              <w:t>Não</w:t>
            </w:r>
          </w:p>
        </w:tc>
        <w:tc>
          <w:tcPr>
            <w:tcW w:type="dxa" w:w="7880"/>
          </w:tcPr>
          <w:p>
            <w:pPr>
              <w:spacing w:after="20"/>
              <w:jc w:val="left"/>
            </w:pPr>
            <w:r/>
            <w:r>
              <w:rPr>
                <w:sz w:val="17"/>
              </w:rPr>
              <w:t>Verificado: a Lei 38/2026 não prevê relatórios à comissão municipal. No socorro, o relato segue a cadeia do SIOPS (COS e comando de emergência e proteção civil, art. 10.º, n.º 1, al. g)).</w:t>
            </w:r>
          </w:p>
        </w:tc>
      </w:tr>
      <w:tr>
        <w:tc>
          <w:tcPr>
            <w:tcW w:type="dxa" w:w="510"/>
          </w:tcPr>
          <w:p>
            <w:pPr>
              <w:spacing w:after="20"/>
              <w:jc w:val="left"/>
            </w:pPr>
            <w:r/>
            <w:r>
              <w:rPr>
                <w:sz w:val="17"/>
              </w:rPr>
              <w:t>43</w:t>
            </w:r>
          </w:p>
        </w:tc>
        <w:tc>
          <w:tcPr>
            <w:tcW w:type="dxa" w:w="1474"/>
          </w:tcPr>
          <w:p>
            <w:pPr>
              <w:spacing w:after="20"/>
              <w:jc w:val="left"/>
            </w:pPr>
            <w:r/>
            <w:r>
              <w:rPr>
                <w:sz w:val="17"/>
              </w:rPr>
              <w:t>p. 8, ponto 10.4</w:t>
            </w:r>
          </w:p>
        </w:tc>
        <w:tc>
          <w:tcPr>
            <w:tcW w:type="dxa" w:w="2948"/>
          </w:tcPr>
          <w:p>
            <w:pPr>
              <w:spacing w:after="20"/>
              <w:jc w:val="left"/>
            </w:pPr>
            <w:r/>
            <w:r>
              <w:rPr>
                <w:sz w:val="17"/>
              </w:rPr>
              <w:t>Avaliação anual só com OMV e ANVETEM: «só?»</w:t>
            </w:r>
          </w:p>
        </w:tc>
        <w:tc>
          <w:tcPr>
            <w:tcW w:type="dxa" w:w="907"/>
          </w:tcPr>
          <w:p>
            <w:pPr>
              <w:spacing w:after="20"/>
              <w:jc w:val="left"/>
            </w:pPr>
            <w:r/>
            <w:r>
              <w:rPr>
                <w:b/>
                <w:sz w:val="17"/>
              </w:rPr>
              <w:t>Sim</w:t>
            </w:r>
          </w:p>
        </w:tc>
        <w:tc>
          <w:tcPr>
            <w:tcW w:type="dxa" w:w="1077"/>
          </w:tcPr>
          <w:p>
            <w:pPr>
              <w:spacing w:after="20"/>
              <w:jc w:val="left"/>
            </w:pPr>
            <w:r/>
            <w:r>
              <w:rPr>
                <w:b/>
                <w:sz w:val="17"/>
              </w:rPr>
              <w:t>Parcial</w:t>
            </w:r>
          </w:p>
        </w:tc>
        <w:tc>
          <w:tcPr>
            <w:tcW w:type="dxa" w:w="7880"/>
          </w:tcPr>
          <w:p>
            <w:pPr>
              <w:spacing w:after="20"/>
              <w:jc w:val="left"/>
            </w:pPr>
            <w:r/>
            <w:r>
              <w:rPr>
                <w:sz w:val="17"/>
              </w:rPr>
              <w:t>Faltam a ANMP, as forças de segurança, a ANEPC e as associações. A análise propôs protocolo com ANMP e forças de segurança (3.1), não a avaliação conjunta.</w:t>
            </w:r>
          </w:p>
        </w:tc>
      </w:tr>
      <w:tr>
        <w:tc>
          <w:tcPr>
            <w:tcW w:type="dxa" w:w="510"/>
          </w:tcPr>
          <w:p>
            <w:pPr>
              <w:spacing w:after="20"/>
              <w:jc w:val="left"/>
            </w:pPr>
            <w:r/>
            <w:r>
              <w:rPr>
                <w:sz w:val="17"/>
              </w:rPr>
              <w:t>44</w:t>
            </w:r>
          </w:p>
        </w:tc>
        <w:tc>
          <w:tcPr>
            <w:tcW w:type="dxa" w:w="1474"/>
          </w:tcPr>
          <w:p>
            <w:pPr>
              <w:spacing w:after="20"/>
              <w:jc w:val="left"/>
            </w:pPr>
            <w:r/>
            <w:r>
              <w:rPr>
                <w:sz w:val="17"/>
              </w:rPr>
              <w:t>p. 8, ponto 11.4</w:t>
            </w:r>
          </w:p>
        </w:tc>
        <w:tc>
          <w:tcPr>
            <w:tcW w:type="dxa" w:w="2948"/>
          </w:tcPr>
          <w:p>
            <w:pPr>
              <w:spacing w:after="20"/>
              <w:jc w:val="left"/>
            </w:pPr>
            <w:r/>
            <w:r>
              <w:rPr>
                <w:sz w:val="17"/>
              </w:rPr>
              <w:t>«Atualmente…»: «precisa atualização periódica pelo que o n.º 106 é irrelevante neste documento»</w:t>
            </w:r>
          </w:p>
        </w:tc>
        <w:tc>
          <w:tcPr>
            <w:tcW w:type="dxa" w:w="907"/>
          </w:tcPr>
          <w:p>
            <w:pPr>
              <w:spacing w:after="20"/>
              <w:jc w:val="left"/>
            </w:pPr>
            <w:r/>
            <w:r>
              <w:rPr>
                <w:b/>
                <w:sz w:val="17"/>
              </w:rPr>
              <w:t>Sim</w:t>
            </w:r>
          </w:p>
        </w:tc>
        <w:tc>
          <w:tcPr>
            <w:tcW w:type="dxa" w:w="1077"/>
          </w:tcPr>
          <w:p>
            <w:pPr>
              <w:spacing w:after="20"/>
              <w:jc w:val="left"/>
            </w:pPr>
            <w:r/>
            <w:r>
              <w:rPr>
                <w:b/>
                <w:sz w:val="17"/>
              </w:rPr>
              <w:t>Não</w:t>
            </w:r>
          </w:p>
        </w:tc>
        <w:tc>
          <w:tcPr>
            <w:tcW w:type="dxa" w:w="7880"/>
          </w:tcPr>
          <w:p>
            <w:pPr>
              <w:spacing w:after="20"/>
              <w:jc w:val="left"/>
            </w:pPr>
            <w:r/>
            <w:r>
              <w:rPr>
                <w:sz w:val="17"/>
              </w:rPr>
              <w:t>Um texto normativo não deve fixar números que mudam. A análise usou o número como dado (5.3), sem esta crítica.</w:t>
            </w:r>
          </w:p>
        </w:tc>
      </w:tr>
      <w:tr>
        <w:tc>
          <w:tcPr>
            <w:tcW w:type="dxa" w:w="510"/>
          </w:tcPr>
          <w:p>
            <w:pPr>
              <w:spacing w:after="20"/>
              <w:jc w:val="left"/>
            </w:pPr>
            <w:r/>
            <w:r>
              <w:rPr>
                <w:sz w:val="17"/>
              </w:rPr>
              <w:t>45</w:t>
            </w:r>
          </w:p>
        </w:tc>
        <w:tc>
          <w:tcPr>
            <w:tcW w:type="dxa" w:w="1474"/>
          </w:tcPr>
          <w:p>
            <w:pPr>
              <w:spacing w:after="20"/>
              <w:jc w:val="left"/>
            </w:pPr>
            <w:r/>
            <w:r>
              <w:rPr>
                <w:sz w:val="17"/>
              </w:rPr>
              <w:t>p. 8, ponto 11.4</w:t>
            </w:r>
          </w:p>
        </w:tc>
        <w:tc>
          <w:tcPr>
            <w:tcW w:type="dxa" w:w="2948"/>
          </w:tcPr>
          <w:p>
            <w:pPr>
              <w:spacing w:after="20"/>
              <w:jc w:val="left"/>
            </w:pPr>
            <w:r/>
            <w:r>
              <w:rPr>
                <w:sz w:val="17"/>
              </w:rPr>
              <w:t>Comissão Técnica de Emergência, Catástrofe e Socorro Animal: «que comissão é esta?»</w:t>
            </w:r>
          </w:p>
        </w:tc>
        <w:tc>
          <w:tcPr>
            <w:tcW w:type="dxa" w:w="907"/>
          </w:tcPr>
          <w:p>
            <w:pPr>
              <w:spacing w:after="20"/>
              <w:jc w:val="left"/>
            </w:pPr>
            <w:r/>
            <w:r>
              <w:rPr>
                <w:b/>
                <w:sz w:val="17"/>
              </w:rPr>
              <w:t>Sim</w:t>
            </w:r>
          </w:p>
        </w:tc>
        <w:tc>
          <w:tcPr>
            <w:tcW w:type="dxa" w:w="1077"/>
          </w:tcPr>
          <w:p>
            <w:pPr>
              <w:spacing w:after="20"/>
              <w:jc w:val="left"/>
            </w:pPr>
            <w:r/>
            <w:r>
              <w:rPr>
                <w:b/>
                <w:sz w:val="17"/>
              </w:rPr>
              <w:t>Não</w:t>
            </w:r>
          </w:p>
        </w:tc>
        <w:tc>
          <w:tcPr>
            <w:tcW w:type="dxa" w:w="7880"/>
          </w:tcPr>
          <w:p>
            <w:pPr>
              <w:spacing w:after="20"/>
              <w:jc w:val="left"/>
            </w:pPr>
            <w:r/>
            <w:r>
              <w:rPr>
                <w:sz w:val="17"/>
              </w:rPr>
              <w:t>É um órgão interno da OMV, sem estatuto legal no procedimento. Pedir mandato, composição e papel.</w:t>
            </w:r>
          </w:p>
        </w:tc>
      </w:tr>
    </w:tbl>
    <w:p>
      <w:pPr>
        <w:spacing w:after="80"/>
      </w:pPr>
    </w:p>
    <w:p>
      <w:pPr>
        <w:keepNext/>
        <w:spacing w:before="280" w:after="120"/>
      </w:pPr>
      <w:r>
        <w:rPr>
          <w:b/>
          <w:color w:val="1F3B63"/>
          <w:sz w:val="27"/>
        </w:rPr>
        <w:t>4. Fontes conferidas para esta avaliação</w:t>
      </w:r>
    </w:p>
    <w:p>
      <w:pPr>
        <w:pStyle w:val="ListBullet"/>
        <w:spacing w:after="60"/>
      </w:pPr>
      <w:r>
        <w:t>Lei de Bases da Proteção Civil, na republicação da Lei 80/2015, art. 46.º-A (DR, 1.ª série, n.º 149, de 3.8.2015).</w:t>
      </w:r>
    </w:p>
    <w:p>
      <w:pPr>
        <w:pStyle w:val="ListBullet"/>
        <w:spacing w:after="60"/>
      </w:pPr>
      <w:r>
        <w:t>Portaria 91/2017, de 2 de março (organizações de voluntariado de proteção civil), arts. 1.º a 5.º (DR, 1.ª série, n.º 44).</w:t>
      </w:r>
    </w:p>
    <w:p>
      <w:pPr>
        <w:pStyle w:val="ListBullet"/>
        <w:spacing w:after="60"/>
      </w:pPr>
      <w:r>
        <w:t>DL 315/2009, versão consolidada, arts. 14.º, 15.º, 30.º, 30.º-A e 39.º (pasta «Legislação vigente»).</w:t>
      </w:r>
    </w:p>
    <w:p>
      <w:pPr>
        <w:pStyle w:val="ListBullet"/>
        <w:spacing w:after="60"/>
      </w:pPr>
      <w:r>
        <w:t>DL 314/2003, versão consolidada, arts. 3.º, 8.º e 9.º (pasta «Legislação vigente»).</w:t>
      </w:r>
    </w:p>
    <w:p>
      <w:pPr>
        <w:pStyle w:val="ListBullet"/>
        <w:spacing w:after="60"/>
      </w:pPr>
      <w:r>
        <w:t>DL 276/2001, versão consolidada, arts. 1.º, 3.º-G e 10.º; DL 116/98, arts. 2.º a 4.º; Lei 38/2026; SIOPS (fontes já usadas na análise).</w:t>
      </w:r>
    </w:p>
    <w:p>
      <w:pPr>
        <w:pStyle w:val="ListBullet"/>
        <w:spacing w:after="60"/>
      </w:pPr>
      <w:r>
        <w:t>Regulamento (CE) n.º 1/2005, art. 1.º, n.º 5, e Regulamento (CE) n.º 1069/2009, arts. 8.º e 19.º: versão inglesa adotada, conferida; versão portuguesa por conferir no EUR-Lex (inacessível a partir do contentor). DL 142/2006, art. 23.º: texto original de 2006 conferido; n.º 1 na redação atual facultado em 14.10.2026.</w:t>
      </w:r>
    </w:p>
    <w:sectPr w:rsidR="00FC693F" w:rsidRPr="0006063C" w:rsidSect="00034616">
      <w:pgSz w:w="16838" w:h="11906"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