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4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4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4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4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4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4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4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4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4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4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4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4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4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4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4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4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4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4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4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4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4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val="0"/>
                <w:i w:val="0"/>
                <w:color w:val="222222"/>
                <w:sz w:val="19"/>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w:t>
            </w:r>
          </w:p>
          <w:p>
            <w:pPr>
              <w:spacing w:after="0" w:before="140"/>
              <w:ind w:right="80" w:left="80" w:firstLine="0"/>
            </w:pPr>
            <w:r>
              <w:rPr>
                <w:rFonts w:ascii="Calibri" w:hAnsi="Calibri"/>
                <w:b w:val="0"/>
                <w:i/>
                <w:color w:val="222222"/>
                <w:sz w:val="19"/>
              </w:rPr>
              <w:t>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w:t>
            </w:r>
          </w:p>
          <w:p>
            <w:pPr>
              <w:spacing w:after="0" w:before="140"/>
              <w:ind w:right="80" w:left="80" w:firstLine="0"/>
            </w:pPr>
            <w:r>
              <w:rPr>
                <w:rFonts w:ascii="Calibri" w:hAnsi="Calibri"/>
                <w:b w:val="0"/>
                <w:i w:val="0"/>
                <w:color w:val="222222"/>
                <w:sz w:val="19"/>
              </w:rPr>
              <w:t>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4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4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4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val="0"/>
                <w:i w:val="0"/>
                <w:color w:val="222222"/>
                <w:sz w:val="19"/>
              </w:rPr>
              <w:t>Artigo 17.º — As intervenções cirúrgicas, nomeadamente as destinadas ao corte de caudas nos canídeos, têm de ser executadas por um médico veterinário.</w:t>
            </w:r>
          </w:p>
          <w:p>
            <w:pPr>
              <w:spacing w:after="0" w:before="140"/>
              <w:ind w:right="80" w:left="80" w:firstLine="0"/>
            </w:pPr>
            <w:r>
              <w:rPr>
                <w:rFonts w:ascii="Calibri" w:hAnsi="Calibri"/>
                <w:b w:val="0"/>
                <w:i w:val="0"/>
                <w:color w:val="222222"/>
                <w:sz w:val="19"/>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assegurar que:</w:t>
            </w:r>
          </w:p>
          <w:p>
            <w:pPr>
              <w:spacing w:after="0" w:before="14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fêmeas em período peri-parto, são inspecionados com maior frequência;</w:t>
            </w:r>
          </w:p>
          <w:p>
            <w:pPr>
              <w:spacing w:after="0" w:before="140"/>
              <w:ind w:right="80" w:left="360" w:hanging="280"/>
            </w:pPr>
            <w:r>
              <w:rPr>
                <w:rFonts w:ascii="Calibri" w:hAnsi="Calibri"/>
                <w:b w:val="0"/>
                <w:i/>
                <w:color w:val="222222"/>
                <w:sz w:val="19"/>
              </w:rPr>
              <w:t>(b) os cães e gatos com bem-estar comprometido são transferidos, quando necessário, sem demora injustificada para área separada e, se necessário, recebem tratamento adequado;</w:t>
            </w:r>
          </w:p>
          <w:p>
            <w:pPr>
              <w:spacing w:after="0" w:before="140"/>
              <w:ind w:right="80" w:left="360" w:hanging="280"/>
            </w:pPr>
            <w:r>
              <w:rPr>
                <w:rFonts w:ascii="Calibri" w:hAnsi="Calibri"/>
                <w:b w:val="0"/>
                <w:i/>
                <w:color w:val="222222"/>
                <w:sz w:val="19"/>
              </w:rPr>
              <w:t>(c) quando a recuperação de um animal com bem-estar comprometido não seja alcançável e o animal experiencie dor ou sofrimento severo, um médico veterinário é consultado sem demora injustificada para decidir sobre a eutanásia, que, se realizada, é executada com anestesia e analgesia;</w:t>
            </w:r>
          </w:p>
          <w:p>
            <w:pPr>
              <w:spacing w:after="0" w:before="140"/>
              <w:ind w:right="80" w:left="360" w:hanging="280"/>
            </w:pPr>
            <w:r>
              <w:rPr>
                <w:rFonts w:ascii="Calibri" w:hAnsi="Calibri"/>
                <w:b w:val="0"/>
                <w:i/>
                <w:color w:val="222222"/>
                <w:sz w:val="19"/>
              </w:rPr>
              <w:t>(d) são implementadas medidas de prevenção e controlo de parasitas externos e internos, bem como vacinações para prevenção de doenças comuns.</w:t>
            </w:r>
          </w:p>
          <w:p>
            <w:pPr>
              <w:spacing w:after="0" w:before="140"/>
              <w:ind w:right="80" w:left="80" w:firstLine="0"/>
            </w:pPr>
            <w:r>
              <w:rPr>
                <w:rFonts w:ascii="Calibri" w:hAnsi="Calibri"/>
                <w:b w:val="0"/>
                <w:i/>
                <w:color w:val="222222"/>
                <w:sz w:val="19"/>
              </w:rPr>
              <w:t>Os operadores de estabelecimentos de criação devem adicionalmente assegurar que:</w:t>
            </w:r>
          </w:p>
          <w:p>
            <w:pPr>
              <w:spacing w:after="0" w:before="20"/>
              <w:ind w:right="80" w:left="360" w:hanging="280"/>
            </w:pPr>
            <w:r>
              <w:rPr>
                <w:rFonts w:ascii="Calibri" w:hAnsi="Calibri"/>
                <w:b w:val="0"/>
                <w:i/>
                <w:color w:val="222222"/>
                <w:sz w:val="19"/>
              </w:rPr>
              <w:t>(-a) as cadelas ou gatas só são reproduzidas se tiverem atingido a idade mínima e maturidade esquelética nos termos do Anexo I, e não apresentem doença diagnosticada, sinais clínicos ou condições físicas que possam impactar negativamente a gestação e o bem-estar;</w:t>
            </w:r>
          </w:p>
          <w:p>
            <w:pPr>
              <w:spacing w:after="0" w:before="20"/>
              <w:ind w:right="80" w:left="360" w:hanging="280"/>
            </w:pPr>
            <w:r>
              <w:rPr>
                <w:rFonts w:ascii="Calibri" w:hAnsi="Calibri"/>
                <w:b w:val="0"/>
                <w:i/>
                <w:color w:val="222222"/>
                <w:sz w:val="19"/>
              </w:rPr>
              <w:t>(-b) a frequência de gestações com ninhadas respeita o máximo fixado no Anexo I;</w:t>
            </w:r>
          </w:p>
          <w:p>
            <w:pPr>
              <w:spacing w:after="0" w:before="20"/>
              <w:ind w:right="80" w:left="360" w:hanging="280"/>
            </w:pPr>
            <w:r>
              <w:rPr>
                <w:rFonts w:ascii="Calibri" w:hAnsi="Calibri"/>
                <w:b w:val="0"/>
                <w:i/>
                <w:color w:val="222222"/>
                <w:sz w:val="19"/>
              </w:rPr>
              <w:t>(-c) as gatas a lactar não são acasaladas nem inseminadas.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ensure that:</w:t>
            </w:r>
          </w:p>
          <w:p>
            <w:pPr>
              <w:spacing w:after="0" w:before="14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14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14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14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140"/>
              <w:ind w:right="80" w:left="80" w:firstLine="0"/>
            </w:pPr>
            <w:r>
              <w:rPr>
                <w:rFonts w:ascii="Calibri" w:hAnsi="Calibri"/>
                <w:b w:val="0"/>
                <w:i w:val="0"/>
                <w:color w:val="222222"/>
                <w:sz w:val="19"/>
              </w:rPr>
              <w:t>Operators of breeding establishments shall additionally ensure that:</w:t>
            </w:r>
          </w:p>
          <w:p>
            <w:pPr>
              <w:spacing w:after="0" w:before="20"/>
              <w:ind w:right="80" w:left="360" w:hanging="280"/>
            </w:pPr>
            <w:r>
              <w:rPr>
                <w:rFonts w:ascii="Calibri" w:hAnsi="Calibri"/>
                <w:b w:val="0"/>
                <w:i w:val="0"/>
                <w:color w:val="222222"/>
                <w:sz w:val="19"/>
              </w:rPr>
              <w:t>(-a)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(-b)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(-c) lactating queens are not mated or inseminated.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33.º do RGBEAC (proposta, jun. 2025)</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do Código do Animal (DL n.º 214/2013)</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3 do art.º 13.º e n.ºs 1 e 2 do art.º 16.º do DL n.º 276/2001, de 17 de outubro</w:t>
            </w:r>
          </w:p>
          <w:p>
            <w:pPr>
              <w:spacing w:after="0" w:before="140"/>
              <w:ind w:right="80" w:left="80" w:firstLine="0"/>
            </w:pPr>
            <w:r>
              <w:rPr>
                <w:rFonts w:ascii="Calibri" w:hAnsi="Calibri"/>
                <w:b w:val="0"/>
                <w:i w:val="0"/>
                <w:color w:val="222222"/>
                <w:sz w:val="19"/>
              </w:rPr>
              <w:t>Artigo 13.º, n.º 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Artigo 13.º, n.º 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222222"/>
                <w:sz w:val="19"/>
              </w:rPr>
              <w:t>Artigo 16.º, n.º 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Artigo 16.º, n.º 2 — No âmbito do número anterior, os animais devem ser sujeitos a exames médico-veterinários de rotina, vacinações e desparasitações sempre que aconselhável.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13.º e 16.º) prevê inspeção diária e programa de profilaxia supervisionado por veterinário — alinhamento parcial. Não fixa condições sanitárias específicas para reprodução em criadores: sem idade mínima da fêmea, sem frequência máxima de partos, sem proibição de cobrição de fêmeas a lactar.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6.º) limita o dever de cuidados médico-veterinários ao animal ferido ou doente, sem obrigação de inspeção diária sistemática nem quaisquer regras sanitárias específicas para a reprodução em criadores.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sem distinguir obrigações reforçadas para operadores de criação nem fixar condições específicas para a reprodução (idade mínima, frequência de partos, lactação).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mais próximo do @regulamento. Necessidade de alteração dirigida a criadores: introduzir (1) requisitos mínimos de idade e maturidade das fêmeas; (2) frequência máxima de partos conforme Anexo I do @regulamento; (3) proibição de cobrição de fêmeas a lactar; alinhando com o regime sanitário do art.º 13.º.</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