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1.21</w:t>
            </w:r>
          </w:p>
        </w:tc>
      </w:tr>
      <w:tr>
        <w:tc>
          <w:tcPr>
            <w:tcW w:w="2551" w:type="dxa"/>
          </w:tcPr>
          <w:p>
            <w:pPr>
              <w:spacing w:after="60"/>
            </w:pPr>
            <w:r/>
            <w:r>
              <w:rPr>
                <w:b/>
                <w:sz w:val="20"/>
              </w:rPr>
              <w:t>Data</w:t>
            </w:r>
          </w:p>
        </w:tc>
        <w:tc>
          <w:tcPr>
            <w:tcW w:w="6520" w:type="dxa"/>
          </w:tcPr>
          <w:p>
            <w:pPr>
              <w:spacing w:after="60"/>
            </w:pPr>
            <w:r/>
            <w:r>
              <w:rPr>
                <w:b w:val="0"/>
                <w:sz w:val="20"/>
              </w:rPr>
              <w:t>13.10.2026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Medidas administrativas, fiscalização e contraordenações (cap. XV)</w:t>
      </w:r>
    </w:p>
    <w:p>
      <w:pPr>
        <w:spacing w:after="0"/>
        <w:ind w:left="567"/>
      </w:pPr>
      <w:r>
        <w:rPr>
          <w:b w:val="0"/>
          <w:i w:val="0"/>
        </w:rPr>
        <w:t>S-01. Os deveres dos CRO e o relatório anual ficam sem coima</w:t>
      </w:r>
    </w:p>
    <w:p>
      <w:pPr>
        <w:spacing w:after="40"/>
      </w:pPr>
    </w:p>
    <w:p>
      <w:pPr>
        <w:spacing w:after="40"/>
      </w:pPr>
      <w:r>
        <w:rPr>
          <w:b/>
          <w:i w:val="0"/>
        </w:rPr>
        <w:t>7. Disposições finais e transitórias e anexos (cap. XVI e anexos)</w:t>
      </w:r>
    </w:p>
    <w:p>
      <w:pPr>
        <w:spacing w:after="0"/>
        <w:ind w:left="567"/>
      </w:pPr>
      <w:r>
        <w:rPr>
          <w:b w:val="0"/>
          <w:i w:val="0"/>
        </w:rPr>
        <w:t>F-01. A revogação total da Lei 92/95 apaga normas que não tratam de animais de companhia</w:t>
      </w:r>
    </w:p>
    <w:p>
      <w:pPr>
        <w:spacing w:after="0"/>
        <w:ind w:left="567"/>
      </w:pPr>
      <w:r>
        <w:rPr>
          <w:b w:val="0"/>
          <w:i w:val="0"/>
        </w:rPr>
        <w:t>F-02. O DL 74/2007 é ressalvado e revogado ao mesmo tempo</w:t>
      </w:r>
    </w:p>
    <w:p>
      <w:pPr>
        <w:spacing w:after="40"/>
      </w:pPr>
    </w:p>
    <w:p>
      <w:pPr>
        <w:spacing w:after="40"/>
      </w:pPr>
      <w:r>
        <w:rPr>
          <w:b/>
          <w:i w:val="0"/>
        </w:rPr>
        <w:t>8.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 Ponderar uma norma geral como a da Lei 92/95, art. 12.º, n.º 1, ou pelo menos coima expressa, com a gravidade que hoje tem no DL 276/2001 (art. 68.º, n.º 2, al. d)), para o art. 8.º, n.º 1 (morte sem motivo legítimo). Ver F-01.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 F-01</w:t>
            </w:r>
          </w:p>
        </w:tc>
      </w:tr>
    </w:tbl>
    <w:p/>
    <w:p>
      <w:r>
        <w:br w:type="page"/>
      </w:r>
    </w:p>
    <w:p>
      <w:pPr>
        <w:pStyle w:val="Heading1"/>
      </w:pPr>
      <w:r>
        <w:rPr>
          <w:i w:val="0"/>
          <w:color w:val="000000"/>
        </w:rPr>
        <w:t>7. Disposições finais e transitórias e anexos (cap. XVI e anexos)</w:t>
      </w:r>
    </w:p>
    <w:p>
      <w:pPr>
        <w:pStyle w:val="Heading2"/>
      </w:pPr>
      <w:r>
        <w:rPr>
          <w:i w:val="0"/>
          <w:color w:val="000000"/>
        </w:rPr>
        <w:t>F-01.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 art. 2.º, n.ºs 1, 2 e 9; art. 140.º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T-06</w:t>
            </w:r>
          </w:p>
        </w:tc>
      </w:tr>
    </w:tbl>
    <w:p/>
    <w:p>
      <w:pPr>
        <w:pStyle w:val="Heading2"/>
      </w:pPr>
      <w:r>
        <w:rPr>
          <w:i w:val="0"/>
          <w:color w:val="000000"/>
        </w:rPr>
        <w:t>F-02.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 art. 149.º, n.º 1, al. f)</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w:t>
            </w:r>
          </w:p>
        </w:tc>
      </w:tr>
    </w:tbl>
    <w:p/>
    <w:p>
      <w:r>
        <w:br w:type="page"/>
      </w:r>
    </w:p>
    <w:p>
      <w:pPr>
        <w:pStyle w:val="Heading1"/>
      </w:pPr>
      <w:r>
        <w:rPr>
          <w:i w:val="0"/>
          <w:color w:val="000000"/>
        </w:rPr>
        <w:t>8.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6"/>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F-01</w:t>
            </w:r>
          </w:p>
        </w:tc>
        <w:tc>
          <w:tcPr>
            <w:tcW w:w="5216" w:type="dxa"/>
          </w:tcPr>
          <w:p>
            <w:pPr>
              <w:spacing w:after="60"/>
            </w:pPr>
            <w:r/>
            <w:r>
              <w:rPr>
                <w:b w:val="0"/>
                <w:sz w:val="20"/>
              </w:rPr>
              <w:t>A revogação total da Lei 92/95 apaga normas que não tratam de animais de companhia</w:t>
            </w:r>
          </w:p>
        </w:tc>
        <w:tc>
          <w:tcPr>
            <w:tcW w:w="3969" w:type="dxa"/>
          </w:tcPr>
          <w:p>
            <w:pPr>
              <w:spacing w:after="60"/>
            </w:pPr>
            <w:r/>
            <w:r>
              <w:rPr>
                <w:b w:val="0"/>
                <w:sz w:val="20"/>
              </w:rPr>
              <w:t>art. 149.º, n.º 1, al. a)</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F-02</w:t>
            </w:r>
          </w:p>
        </w:tc>
        <w:tc>
          <w:tcPr>
            <w:tcW w:w="5216" w:type="dxa"/>
          </w:tcPr>
          <w:p>
            <w:pPr>
              <w:spacing w:after="60"/>
            </w:pPr>
            <w:r/>
            <w:r>
              <w:rPr>
                <w:b w:val="0"/>
                <w:sz w:val="20"/>
              </w:rPr>
              <w:t>O DL 74/2007 é ressalvado e revogado ao mesmo tempo</w:t>
            </w:r>
          </w:p>
        </w:tc>
        <w:tc>
          <w:tcPr>
            <w:tcW w:w="3969" w:type="dxa"/>
          </w:tcPr>
          <w:p>
            <w:pPr>
              <w:spacing w:after="60"/>
            </w:pPr>
            <w:r/>
            <w:r>
              <w:rPr>
                <w:b w:val="0"/>
                <w:sz w:val="20"/>
              </w:rPr>
              <w:t>art. 2.º, n.º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44 fichas, das quais 40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bl>
    <w:p/>
    <w:p>
      <w:r>
        <w:rPr>
          <w:b w:val="0"/>
          <w:i w:val="0"/>
        </w:rPr>
        <w:t>Total: 17 lapsos, dos quais 17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28</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5</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40</w:t>
            </w:r>
          </w:p>
        </w:tc>
        <w:tc>
          <w:tcPr>
            <w:tcW w:w="1701" w:type="dxa"/>
          </w:tcPr>
          <w:p>
            <w:pPr>
              <w:spacing w:after="60"/>
            </w:pPr>
            <w:r/>
            <w:r>
              <w:rPr>
                <w:b/>
                <w:sz w:val="20"/>
              </w:rPr>
              <w:t>113</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S-01, F-01,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020" w:type="dxa"/>
          </w:tcPr>
          <w:p>
            <w:pPr>
              <w:spacing w:after="60"/>
            </w:pPr>
            <w:r/>
            <w:r>
              <w:rPr>
                <w:b w:val="0"/>
                <w:sz w:val="20"/>
              </w:rPr>
              <w:t>1.18</w:t>
            </w:r>
          </w:p>
        </w:tc>
        <w:tc>
          <w:tcPr>
            <w:tcW w:w="1417" w:type="dxa"/>
          </w:tcPr>
          <w:p>
            <w:pPr>
              <w:spacing w:after="60"/>
            </w:pPr>
            <w:r/>
            <w:r>
              <w:rPr>
                <w:b w:val="0"/>
                <w:sz w:val="20"/>
              </w:rPr>
              <w:t>13.10.2026</w:t>
            </w:r>
          </w:p>
        </w:tc>
        <w:tc>
          <w:tcPr>
            <w:tcW w:w="6633"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020" w:type="dxa"/>
          </w:tcPr>
          <w:p>
            <w:pPr>
              <w:spacing w:after="60"/>
            </w:pPr>
            <w:r/>
            <w:r>
              <w:rPr>
                <w:b w:val="0"/>
                <w:sz w:val="20"/>
              </w:rPr>
              <w:t>1.19</w:t>
            </w:r>
          </w:p>
        </w:tc>
        <w:tc>
          <w:tcPr>
            <w:tcW w:w="1417" w:type="dxa"/>
          </w:tcPr>
          <w:p>
            <w:pPr>
              <w:spacing w:after="60"/>
            </w:pPr>
            <w:r/>
            <w:r>
              <w:rPr>
                <w:b w:val="0"/>
                <w:sz w:val="20"/>
              </w:rPr>
              <w:t>13.10.2026</w:t>
            </w:r>
          </w:p>
        </w:tc>
        <w:tc>
          <w:tcPr>
            <w:tcW w:w="6633"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020" w:type="dxa"/>
          </w:tcPr>
          <w:p>
            <w:pPr>
              <w:spacing w:after="60"/>
            </w:pPr>
            <w:r/>
            <w:r>
              <w:rPr>
                <w:b w:val="0"/>
                <w:sz w:val="20"/>
              </w:rPr>
              <w:t>1.20</w:t>
            </w:r>
          </w:p>
        </w:tc>
        <w:tc>
          <w:tcPr>
            <w:tcW w:w="1417" w:type="dxa"/>
          </w:tcPr>
          <w:p>
            <w:pPr>
              <w:spacing w:after="60"/>
            </w:pPr>
            <w:r/>
            <w:r>
              <w:rPr>
                <w:b w:val="0"/>
                <w:sz w:val="20"/>
              </w:rPr>
              <w:t>13.10.2026</w:t>
            </w:r>
          </w:p>
        </w:tc>
        <w:tc>
          <w:tcPr>
            <w:tcW w:w="6633"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020" w:type="dxa"/>
          </w:tcPr>
          <w:p>
            <w:pPr>
              <w:spacing w:after="60"/>
            </w:pPr>
            <w:r/>
            <w:r>
              <w:rPr>
                <w:b w:val="0"/>
                <w:sz w:val="20"/>
              </w:rPr>
              <w:t>1.21</w:t>
            </w:r>
          </w:p>
        </w:tc>
        <w:tc>
          <w:tcPr>
            <w:tcW w:w="1417" w:type="dxa"/>
          </w:tcPr>
          <w:p>
            <w:pPr>
              <w:spacing w:after="60"/>
            </w:pPr>
            <w:r/>
            <w:r>
              <w:rPr>
                <w:b w:val="0"/>
                <w:sz w:val="20"/>
              </w:rPr>
              <w:t>13.10.2026</w:t>
            </w:r>
          </w:p>
        </w:tc>
        <w:tc>
          <w:tcPr>
            <w:tcW w:w="6633"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bl>
    <w:p>
      <w:pPr>
        <w:pStyle w:val="Heading1"/>
      </w:pPr>
      <w:r>
        <w:rPr>
          <w:i w:val="0"/>
          <w:color w:val="000000"/>
        </w:rPr>
        <w:t>Bibliografia</w:t>
      </w:r>
    </w:p>
    <w:p>
      <w:r>
        <w:rPr>
          <w:b w:val="0"/>
          <w:i w:val="0"/>
        </w:rPr>
        <w:t>Todas as ligações foram verificadas em 13.10.2026.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29">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0">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1">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2">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3">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4">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5">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6">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7">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8">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9">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0">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1">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2">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0">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6">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7">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8">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9">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0">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1">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2">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3">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4">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5">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1.21.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files.diariodarepublica.pt/2s/2022/02/031000000/0030000303.pdf" TargetMode="External"/><Relationship Id="rId30" Type="http://schemas.openxmlformats.org/officeDocument/2006/relationships/hyperlink" Target="https://anmp.pt/file-viewer/?pstid=41508" TargetMode="External"/><Relationship Id="rId31"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2"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3" Type="http://schemas.openxmlformats.org/officeDocument/2006/relationships/hyperlink" Target="https://www.icnf.pt/api/file/doc/41f8f44aee23be1a" TargetMode="External"/><Relationship Id="rId34" Type="http://schemas.openxmlformats.org/officeDocument/2006/relationships/hyperlink" Target="https://www.dgav.pt/wp-content/uploads/2021/08/Relatorio-FINAL-avaliacao-da-implementacao-da-Lei-27-2016.pdf" TargetMode="External"/><Relationship Id="rId35" Type="http://schemas.openxmlformats.org/officeDocument/2006/relationships/hyperlink" Target="https://www.provedor-jus.pt/documentos/082A_96.pdf" TargetMode="External"/><Relationship Id="rId36" Type="http://schemas.openxmlformats.org/officeDocument/2006/relationships/hyperlink" Target="https://www.provedor-jus.pt/documentos/canideos-captura-alojamento-e-abate/" TargetMode="External"/><Relationship Id="rId37" Type="http://schemas.openxmlformats.org/officeDocument/2006/relationships/hyperlink" Target="https://www.provedor-jus.pt/documentos/ambiente-salubridade-habitacao-acumulacao-de-residuos-saude-mental-sindrome-de-diogenes-004-a-2013/" TargetMode="External"/><Relationship Id="rId38" Type="http://schemas.openxmlformats.org/officeDocument/2006/relationships/hyperlink" Target="https://www.provedor-jus.pt/documentos/Relat2020%20_Relatorio.pdf" TargetMode="External"/><Relationship Id="rId39" Type="http://schemas.openxmlformats.org/officeDocument/2006/relationships/hyperlink" Target="https://www.provedor-jus.pt/documentos/Relatorio%202023.pdf" TargetMode="External"/><Relationship Id="rId40" Type="http://schemas.openxmlformats.org/officeDocument/2006/relationships/hyperlink" Target="https://food.ec.europa.eu/document/download/caf8cd1d-967a-4e60-a0e5-19401be1c6b3_en?filename=aw_awp_leg_dog-cat_swd-2024-88.pdf" TargetMode="External"/><Relationship Id="rId41" Type="http://schemas.openxmlformats.org/officeDocument/2006/relationships/hyperlink" Target="https://www.woah.org/fileadmin/Home/eng/Health_standards/tahc/2023/chapitre_aw_stray_dog.pdf" TargetMode="External"/><Relationship Id="rId42" Type="http://schemas.openxmlformats.org/officeDocument/2006/relationships/hyperlink" Target="https://www.dgav.pt/wp-content/uploads/2026/03/Relatorio_CROs_2025_31032026-rev.pdf" TargetMode="External"/><Relationship Id="rId43" Type="http://schemas.openxmlformats.org/officeDocument/2006/relationships/hyperlink" Target="https://www.omv.pt/dmdocuments/vi_formacao_omv/abandono_animais_camv_ultimoparecer_nov2015.pdf" TargetMode="External"/><Relationship Id="rId4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5" Type="http://schemas.openxmlformats.org/officeDocument/2006/relationships/hyperlink" Target="https://apmveac.pt/wp-content/uploads/2021/04/Legislacao.Animais.Companhia_09-04-2021-amarelo-final-.pdf" TargetMode="External"/><Relationship Id="rId46" Type="http://schemas.openxmlformats.org/officeDocument/2006/relationships/hyperlink" Target="https://apmveac.pt/wp-content/uploads/2023/09/Parecer-APMVEAC-Consulta-Publica-ENAE.pdf" TargetMode="External"/><Relationship Id="rId47" Type="http://schemas.openxmlformats.org/officeDocument/2006/relationships/hyperlink" Target="https://www.arpa-associacao.pt/media/attachments/2022/12/14/parecer-arpa-versAo-4-final.pdf" TargetMode="External"/><Relationship Id="rId48" Type="http://schemas.openxmlformats.org/officeDocument/2006/relationships/hyperlink" Target="https://www.spea.pt/wp-content/uploads/2020/09/ParecerSPEA_Planos-Gestao-Parques-Naturais-Ilha-2020.pdf" TargetMode="External"/><Relationship Id="rId49" Type="http://schemas.openxmlformats.org/officeDocument/2006/relationships/hyperlink" Target="https://spea.pt/um-gato-feliz-e-alimentado-mantem-o-passarinho-afastado/" TargetMode="External"/><Relationship Id="rId50" Type="http://schemas.openxmlformats.org/officeDocument/2006/relationships/hyperlink" Target="https://matilhascoimbra.pt/pages/projecto-2" TargetMode="External"/><Relationship Id="rId51" Type="http://schemas.openxmlformats.org/officeDocument/2006/relationships/hyperlink" Target="https://www.pan.com.pt/pan-destaca-vitorias-no-bem-estar-animal-mas-denuncia-retrocesso-grave-no-orcamento-do-estado-para-2026/" TargetMode="External"/><Relationship Id="rId52" Type="http://schemas.openxmlformats.org/officeDocument/2006/relationships/hyperlink" Target="https://www.pcp.pt/solucao-prevencao-pela-esterilizacao-rede-publica-de-veterinarios-nao-abate-de-animais-abandonados" TargetMode="External"/><Relationship Id="rId53" Type="http://schemas.openxmlformats.org/officeDocument/2006/relationships/hyperlink" Target="https://www.pcp.pt/campanha-nacional-de-esterilizacao-de-animais-errantes-0" TargetMode="External"/><Relationship Id="rId54" Type="http://schemas.openxmlformats.org/officeDocument/2006/relationships/hyperlink" Target="https://programa.partidolivre.pt/propostas/N.13/" TargetMode="External"/><Relationship Id="rId55" Type="http://schemas.openxmlformats.org/officeDocument/2006/relationships/hyperlink" Target="https://maratonapelosanimais.pt/wp-content/uploads/2024/03/respostas-completas.pdf" TargetMode="External"/><Relationship Id="rId56" Type="http://schemas.openxmlformats.org/officeDocument/2006/relationships/hyperlink" Target="https://www.cidp.pt/revistas/rjlb/2019/2/2019_02_0077_0095.pdf" TargetMode="External"/><Relationship Id="rId57" Type="http://schemas.openxmlformats.org/officeDocument/2006/relationships/hyperlink" Target="https://www.cidp.pt/revistas/rjlb/2019/2/2019_02_0305_0348.pdf" TargetMode="External"/><Relationship Id="rId58" Type="http://schemas.openxmlformats.org/officeDocument/2006/relationships/hyperlink" Target="https://cej.justica.gov.pt/LinkClick.aspx?fileticket=VpuQj7jZ-us%3D&amp;portalid=30" TargetMode="External"/><Relationship Id="rId59" Type="http://schemas.openxmlformats.org/officeDocument/2006/relationships/hyperlink" Target="https://jurisprudencia.pt/acordao/76412/" TargetMode="External"/><Relationship Id="rId60" Type="http://schemas.openxmlformats.org/officeDocument/2006/relationships/hyperlink" Target="https://trc.pt/responsabilidade-civil-danos-causados-por-animais-dever-de-vigilancia/" TargetMode="External"/><Relationship Id="rId61" Type="http://schemas.openxmlformats.org/officeDocument/2006/relationships/hyperlink" Target="https://jurisprudencia.pt/acordao/128487/" TargetMode="External"/><Relationship Id="rId62" Type="http://schemas.openxmlformats.org/officeDocument/2006/relationships/hyperlink" Target="https://www.tribunalconstitucional.pt/tc/acordaos/20210867.html" TargetMode="External"/><Relationship Id="rId63" Type="http://schemas.openxmlformats.org/officeDocument/2006/relationships/hyperlink" Target="https://www.tribunalconstitucional.pt/tc/acordaos/20240070.html" TargetMode="External"/><Relationship Id="rId64" Type="http://schemas.openxmlformats.org/officeDocument/2006/relationships/hyperlink" Target="https://jurisprudencia.pt/acordao/221373/" TargetMode="External"/><Relationship Id="rId65" Type="http://schemas.openxmlformats.org/officeDocument/2006/relationships/hyperlink" Target="https://www.tribunalconstitucional.pt/tc/acordaos/20240478.html" TargetMode="External"/><Relationship Id="rId66" Type="http://schemas.openxmlformats.org/officeDocument/2006/relationships/hyperlink" Target="https://www.dgsi.pt/jtrl.nsf/33182fc732316039802565fa00497eec/7462ba7a0546bac680258c8b0049a31e?OpenDocument" TargetMode="External"/><Relationship Id="rId67" Type="http://schemas.openxmlformats.org/officeDocument/2006/relationships/hyperlink" Target="https://www.dgsi.pt/jtrp.nsf/56a6e7121657f91e80257cda00381fdf/703e8b815ea39ece80258b34004b8157" TargetMode="External"/><Relationship Id="rId68" Type="http://schemas.openxmlformats.org/officeDocument/2006/relationships/hyperlink" Target="https://www.nature.com/articles/ncomms2380" TargetMode="External"/><Relationship Id="rId69" Type="http://schemas.openxmlformats.org/officeDocument/2006/relationships/hyperlink" Target="https://doi.org/10.2460/javma.2005.227.1775" TargetMode="External"/><Relationship Id="rId70" Type="http://schemas.openxmlformats.org/officeDocument/2006/relationships/hyperlink" Target="https://www.frontiersin.org/journals/veterinary-science/articles/10.3389/fvets.2019.00238/full" TargetMode="External"/><Relationship Id="rId71" Type="http://schemas.openxmlformats.org/officeDocument/2006/relationships/hyperlink" Target="https://www.frontiersin.org/journals/veterinary-science/articles/10.3389/fvets.2019.00077/full" TargetMode="External"/><Relationship Id="rId72" Type="http://schemas.openxmlformats.org/officeDocument/2006/relationships/hyperlink" Target="https://doi.org/10.1093/jel/eqz035" TargetMode="External"/><Relationship Id="rId73" Type="http://schemas.openxmlformats.org/officeDocument/2006/relationships/hyperlink" Target="https://pmc.ncbi.nlm.nih.gov/articles/PMC9169806/" TargetMode="External"/><Relationship Id="rId74" Type="http://schemas.openxmlformats.org/officeDocument/2006/relationships/hyperlink" Target="https://pmc.ncbi.nlm.nih.gov/articles/PMC11939513/" TargetMode="External"/><Relationship Id="rId75" Type="http://schemas.openxmlformats.org/officeDocument/2006/relationships/hyperlink" Target="https://dspace.uevora.pt/rdpc/bitstream/10174/38522/1/Gal%C3%A3o%20et%20al_2025_When%20pets%20go%20wild.pdf" TargetMode="External"/><Relationship Id="rId7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