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color w:val="000000"/>
          <w:sz w:val="22"/>
        </w:rPr>
        <w:t>Para: Diretor-Geral de Alimentação e Veterinária &lt;dirgeral@dgav.pt&gt;</w:t>
      </w:r>
    </w:p>
    <w:p>
      <w:pPr>
        <w:spacing w:before="0" w:after="40" w:line="276" w:lineRule="auto"/>
        <w:jc w:val="left"/>
      </w:pPr>
      <w:r>
        <w:rPr>
          <w:color w:val="000000"/>
          <w:sz w:val="22"/>
        </w:rPr>
        <w:t>Assunto: RE: FW: Projeto Lei 780_XVII_2ª</w:t>
      </w:r>
    </w:p>
    <w:p>
      <w:pPr>
        <w:spacing w:before="0" w:after="360" w:line="276" w:lineRule="auto"/>
        <w:jc w:val="left"/>
      </w:pPr>
      <w:r>
        <w:rPr>
          <w:color w:val="000000"/>
          <w:sz w:val="22"/>
        </w:rPr>
        <w:t>Anexo: Parecer_DGAV_PL780_XVII_final.docx</w:t>
      </w:r>
    </w:p>
    <w:p>
      <w:pPr>
        <w:spacing w:before="0" w:after="240" w:line="276" w:lineRule="auto"/>
        <w:jc w:val="left"/>
      </w:pPr>
      <w:r>
        <w:rPr>
          <w:color w:val="000000"/>
          <w:sz w:val="22"/>
        </w:rPr>
        <w:t>Senhora Diretora-Geral,</w:t>
      </w:r>
    </w:p>
    <w:p>
      <w:pPr>
        <w:spacing w:before="0" w:after="160" w:line="276" w:lineRule="auto"/>
        <w:jc w:val="both"/>
      </w:pPr>
      <w:r>
        <w:rPr>
          <w:color w:val="000000"/>
          <w:sz w:val="22"/>
        </w:rPr>
        <w:t>Em resposta ao solicitado, junto o contributo sobre o Projeto de Lei n.º 780/XVII/2.ª, na parte que respeita ao bem-estar dos animais de companhia.</w:t>
      </w:r>
    </w:p>
    <w:p>
      <w:pPr>
        <w:spacing w:before="0" w:after="160" w:line="276" w:lineRule="auto"/>
        <w:jc w:val="both"/>
      </w:pPr>
      <w:r>
        <w:rPr>
          <w:color w:val="000000"/>
          <w:sz w:val="22"/>
        </w:rPr>
        <w:t>A iniciativa altera o artigo 387.º do Código Penal e adita a alínea h) ao n.º 3 do artigo 1.º da Lei n.º 92/95, de 12 de setembro. Tipifica a ofensa sexual a animal, no plano penal quanto aos animais de companhia e no plano contraordenacional quanto a qualquer animal. A moldura penal mantém-se.</w:t>
      </w:r>
    </w:p>
    <w:p>
      <w:pPr>
        <w:spacing w:before="0" w:after="160" w:line="276" w:lineRule="auto"/>
        <w:jc w:val="both"/>
      </w:pPr>
      <w:r>
        <w:rPr>
          <w:color w:val="000000"/>
          <w:sz w:val="22"/>
        </w:rPr>
        <w:t>O seu efeito útil é tornar a conduta punível sem prova de dor, sofrimento ou lesão. Hoje essa prova é exigida, tanto pelo n.º 3 do artigo 7.º do Decreto-Lei n.º 276/2001, de 17 de outubro, como pelo n.º 3 do artigo 387.º do Código Penal, pelo que o ato sexual de que não resulte sofrimento ou lesão demonstráveis não tem hoje sanção. É essa a lacuna que a iniciativa vem cobrir.</w:t>
      </w:r>
    </w:p>
    <w:p>
      <w:pPr>
        <w:spacing w:before="0" w:after="160" w:line="276" w:lineRule="auto"/>
        <w:jc w:val="both"/>
      </w:pPr>
      <w:r>
        <w:rPr>
          <w:color w:val="000000"/>
          <w:sz w:val="22"/>
        </w:rPr>
        <w:t>Concorre para a premência da alteração o impacto destas condutas no bem-estar animal e os riscos higiossanitários e zoonóticos associados, havendo ainda casuística de lesão por esta via em número não residual.</w:t>
      </w:r>
    </w:p>
    <w:p>
      <w:pPr>
        <w:spacing w:before="0" w:after="320" w:line="276" w:lineRule="auto"/>
        <w:jc w:val="both"/>
      </w:pPr>
      <w:r>
        <w:rPr>
          <w:color w:val="000000"/>
          <w:sz w:val="22"/>
        </w:rPr>
        <w:t>O parecer é favorável e não se identificam objeções técnicas. Fica apenas por confirmar, em sede jurídica, a articulação do n.º 3 com o n.º 1 do artigo 1.º da Lei n.º 92/95 quanto ao alcance dos elementos limitadores, questão que se submete à apreciação dos serviços competentes.</w:t>
      </w:r>
    </w:p>
    <w:p>
      <w:pPr>
        <w:spacing w:before="0" w:after="400" w:line="276" w:lineRule="auto"/>
        <w:jc w:val="left"/>
      </w:pPr>
      <w:r>
        <w:rPr>
          <w:color w:val="000000"/>
          <w:sz w:val="22"/>
        </w:rPr>
        <w:t>Com os melhores cumprimentos,</w:t>
      </w:r>
    </w:p>
    <w:p>
      <w:pPr>
        <w:spacing w:before="0" w:after="0" w:line="276" w:lineRule="auto"/>
        <w:jc w:val="left"/>
      </w:pPr>
      <w:r>
        <w:rPr>
          <w:color w:val="000000"/>
          <w:sz w:val="22"/>
        </w:rPr>
        <w:t>[assinatura]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