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55555"/>
          <w:sz w:val="19"/>
        </w:rPr>
        <w:t>DIREÇÃO-GERAL DE ALIMENTAÇÃO E VETERINÁRIA</w:t>
      </w:r>
    </w:p>
    <w:p>
      <w:pPr>
        <w:spacing w:after="280"/>
      </w:pPr>
      <w:r>
        <w:rPr>
          <w:b w:val="0"/>
          <w:i w:val="0"/>
          <w:color w:val="555555"/>
          <w:sz w:val="19"/>
        </w:rPr>
        <w:t>Direção de Serviços de Bem-Estar Animal</w:t>
      </w:r>
    </w:p>
    <w:p>
      <w:pPr>
        <w:spacing w:after="40"/>
      </w:pPr>
      <w:r>
        <w:rPr>
          <w:b/>
          <w:color w:val="1F3B63"/>
          <w:sz w:val="32"/>
        </w:rPr>
        <w:t>ANÁLISE DA PROPOSTA OMV / ANVETEM</w:t>
      </w:r>
    </w:p>
    <w:p>
      <w:pPr>
        <w:spacing w:after="40"/>
      </w:pPr>
      <w:r>
        <w:rPr>
          <w:b/>
          <w:i w:val="0"/>
          <w:sz w:val="24"/>
        </w:rPr>
        <w:t>Procedimento-tipo de intervenção em operações de retirada e apreensão de animais e de socorro animal (v3.0, de 26.8.2026)</w:t>
      </w:r>
    </w:p>
    <w:p>
      <w:pPr>
        <w:spacing w:after="80"/>
      </w:pPr>
      <w:r>
        <w:rPr>
          <w:b w:val="0"/>
          <w:i w:val="0"/>
          <w:color w:val="555555"/>
          <w:sz w:val="21"/>
        </w:rPr>
        <w:t>Apreciação na perspetiva da DGAV e das necessidades face à legislação vigente, separada em dois âmbitos: A. retirada de animais de alojamentos fora de emergência; B. socorro em emergência. Foco nos animais de companhia.</w:t>
      </w:r>
    </w:p>
    <w:p>
      <w:pPr>
        <w:spacing w:after="280"/>
      </w:pPr>
      <w:r>
        <w:rPr>
          <w:b w:val="0"/>
          <w:i w:val="0"/>
          <w:color w:val="555555"/>
          <w:sz w:val="18"/>
        </w:rPr>
        <w:t>Documento de trabalho, 14.10.2026. Analisa apenas o ficheiro «Proposta de Procedimento Integrado_DGAV_OMV_ANVETEM_v26_08_2026_signed_signed.pdf».</w:t>
      </w:r>
    </w:p>
    <w:p>
      <w:pPr>
        <w:keepNext/>
        <w:spacing w:before="240" w:after="80"/>
      </w:pPr>
      <w:r>
        <w:rPr>
          <w:b/>
          <w:color w:val="1F3B63"/>
          <w:sz w:val="23"/>
        </w:rPr>
        <w:t>Como ler este documento</w:t>
      </w:r>
    </w:p>
    <w:p>
      <w:pPr>
        <w:pStyle w:val="ListBullet"/>
        <w:spacing w:after="60"/>
        <w:jc w:val="both"/>
      </w:pPr>
      <w:r>
        <w:rPr>
          <w:sz w:val="21"/>
        </w:rPr>
        <w:t>«Âmbito A» e «Âmbito B» são a divisão pedida para esta análise. Não confundir com as «tipologias A a D» da proposta (A animais de companhia; B espécies pecuárias; C animais de produção e saúde pública; D socorro de qualquer espécie). O âmbito A desta análise corresponde, para os animais de companhia, à tipologia A da proposta; o âmbito B corresponde à tipologia D.</w:t>
      </w:r>
    </w:p>
    <w:p>
      <w:pPr>
        <w:pStyle w:val="ListBullet"/>
        <w:spacing w:after="60"/>
        <w:jc w:val="both"/>
      </w:pPr>
      <w:r>
        <w:rPr>
          <w:sz w:val="21"/>
        </w:rPr>
        <w:t>As partes descritivas (o que diz a lei, o que diz a proposta) estão separadas das partes de opinião, assinaladas como «Apreciação» ou «Recomendação».</w:t>
      </w:r>
    </w:p>
    <w:p>
      <w:pPr>
        <w:pStyle w:val="ListBullet"/>
        <w:spacing w:after="60"/>
        <w:jc w:val="both"/>
      </w:pPr>
      <w:r>
        <w:rPr>
          <w:sz w:val="21"/>
        </w:rPr>
        <w:t>A legislação vigente é citada verbatim, a partir do texto publicado no Diário da República ou da versão consolidada que consta do repositório. O projeto de RGAC é citado como proposta, nunca como lei vigente. O estado de verificação de cada fonte está no Anexo II.</w:t>
      </w:r>
    </w:p>
    <w:p>
      <w:pPr>
        <w:keepNext/>
        <w:spacing w:before="360" w:after="120"/>
      </w:pPr>
      <w:r>
        <w:rPr>
          <w:b/>
          <w:color w:val="1F3B63"/>
          <w:sz w:val="27"/>
        </w:rPr>
        <w:t>1. Síntese</w:t>
      </w:r>
    </w:p>
    <w:p>
      <w:pPr>
        <w:keepNext/>
        <w:spacing w:before="240" w:after="80"/>
      </w:pPr>
      <w:r>
        <w:rPr>
          <w:b/>
          <w:color w:val="1F3B63"/>
          <w:sz w:val="23"/>
        </w:rPr>
        <w:t>1.1 Juízo global</w:t>
      </w:r>
    </w:p>
    <w:p>
      <w:pPr>
        <w:spacing w:after="120"/>
      </w:pPr>
      <w:r>
        <w:rPr>
          <w:b/>
          <w:color w:val="1F3B63"/>
        </w:rPr>
        <w:t xml:space="preserve">Apreciação. </w:t>
      </w:r>
      <w:r>
        <w:t>A proposta é útil e chega no momento certo. Acerta no que mais falha hoje nas operações: o registo individual de cada animal, a cadeia de custódia, o inventário fechado, o auto de entrega com encargos escritos, a proibição de ceder animais antes de decisão e o planeamento prévio. Estes pontos protegem os animais, protegem a prova e protegem a DGAV. Merecem ser aproveitados quase sem alterações.</w:t>
      </w:r>
    </w:p>
    <w:p>
      <w:pPr>
        <w:spacing w:after="120"/>
      </w:pPr>
      <w:r>
        <w:rPr>
          <w:b w:val="0"/>
          <w:i w:val="0"/>
          <w:sz w:val="21"/>
        </w:rPr>
        <w:t>Tem, porém, cinco fragilidades de fundo, que justificam que a DGAV aceite o grupo de trabalho mas não o texto tal como está:</w:t>
      </w:r>
    </w:p>
    <w:p>
      <w:pPr>
        <w:pStyle w:val="ListBullet"/>
        <w:spacing w:after="60"/>
        <w:jc w:val="both"/>
      </w:pPr>
      <w:r>
        <w:rPr>
          <w:b/>
        </w:rPr>
        <w:t xml:space="preserve">Base legal incompleta. </w:t>
      </w:r>
      <w:r>
        <w:rPr>
          <w:sz w:val="21"/>
        </w:rPr>
        <w:t>A proposta assenta quase só no art.º 19.º e no art.º 3.º-G do DL 276/2001. Omite a base legal mais forte para retirar animais de companhia em maus-tratos: o art.º 1.º-A da Lei n.º 92/95 e as regras do Código de Processo Penal sobre apreensão e guarda de animais, ambos na redação da Lei n.º 39/2020. Omite também as medidas cautelares e a apreensão de «seres vivos» do Regime Jurídico das Contraordenações Económicas (RJCE), que se aplica às contraordenações do DL 276/2001 desde 2021.</w:t>
      </w:r>
    </w:p>
    <w:p>
      <w:pPr>
        <w:pStyle w:val="ListBullet"/>
        <w:spacing w:after="60"/>
        <w:jc w:val="both"/>
      </w:pPr>
      <w:r>
        <w:rPr>
          <w:b/>
        </w:rPr>
        <w:t xml:space="preserve">Comando atribuído sem título legal. </w:t>
      </w:r>
      <w:r>
        <w:rPr>
          <w:sz w:val="21"/>
        </w:rPr>
        <w:t>Faz da DGAV a entidade coordenadora, com comando único, de todas as operações em que participe. A lei não dá esse papel à DGAV no processo penal (dirigido pelo Ministério Público), na remoção municipal por insalubridade (DL 314/2003) nem no socorro em emergência, onde o comando cabe ao comandante das operações de socorro (COS), nos termos do SIOPS.</w:t>
      </w:r>
    </w:p>
    <w:p>
      <w:pPr>
        <w:pStyle w:val="ListBullet"/>
        <w:spacing w:after="60"/>
        <w:jc w:val="both"/>
      </w:pPr>
      <w:r>
        <w:rPr>
          <w:b/>
        </w:rPr>
        <w:t xml:space="preserve">Instrumento que não chega a quem pretende obrigar. </w:t>
      </w:r>
      <w:r>
        <w:rPr>
          <w:sz w:val="21"/>
        </w:rPr>
        <w:t>Um despacho ou orientação técnica da DGAV vincula os serviços da DGAV. Não vincula câmaras municipais, forças de segurança, Ministério Público ou associações. A «credenciação», a «suspensão da lista» e a «exclusão» de entidades (pontos 8.8 e 9.5) criam efeitos externos sem base legal.</w:t>
      </w:r>
    </w:p>
    <w:p>
      <w:pPr>
        <w:pStyle w:val="ListBullet"/>
        <w:spacing w:after="60"/>
        <w:jc w:val="both"/>
      </w:pPr>
      <w:r>
        <w:rPr>
          <w:b/>
        </w:rPr>
        <w:t xml:space="preserve">O problema central fica por resolver. </w:t>
      </w:r>
      <w:r>
        <w:rPr>
          <w:sz w:val="21"/>
        </w:rPr>
        <w:t>Não diz quem decide o destino dos animais nem quem paga a custódia, porque a lei vigente tem pelo menos quatro regimes concorrentes, com decisores diferentes. É a maior necessidade face à lei vigente e não se resolve por procedimento.</w:t>
      </w:r>
    </w:p>
    <w:p>
      <w:pPr>
        <w:pStyle w:val="ListBullet"/>
        <w:spacing w:after="60"/>
        <w:jc w:val="both"/>
      </w:pPr>
      <w:r>
        <w:rPr>
          <w:b/>
        </w:rPr>
        <w:t xml:space="preserve">Os âmbitos A e B têm lógicas opostas. </w:t>
      </w:r>
      <w:r>
        <w:rPr>
          <w:sz w:val="21"/>
        </w:rPr>
        <w:t>Aplica ao socorro o modelo da apreensão (fiel depositário, decisão de destino, dever de reserva). No socorro, o detentor é vítima, o animal continua a ser seu e a prioridade é a reunificação, que a proposta não trata.</w:t>
      </w:r>
    </w:p>
    <w:p>
      <w:pPr>
        <w:keepNext/>
        <w:spacing w:before="240" w:after="80"/>
      </w:pPr>
      <w:r>
        <w:rPr>
          <w:b/>
          <w:color w:val="1F3B63"/>
          <w:sz w:val="23"/>
        </w:rPr>
        <w:t>1.2 Quadro-síntese</w:t>
      </w:r>
    </w:p>
    <w:tbl>
      <w:tblPr>
        <w:tblStyle w:val="TableGrid"/>
        <w:tblW w:type="auto" w:w="0"/>
        <w:jc w:val="center"/>
        <w:tblLook w:firstColumn="1" w:firstRow="1" w:lastColumn="0" w:lastRow="0" w:noHBand="0" w:noVBand="1" w:val="04A0"/>
      </w:tblPr>
      <w:tblGrid>
        <w:gridCol w:w="3135"/>
        <w:gridCol w:w="3135"/>
        <w:gridCol w:w="3135"/>
      </w:tblGrid>
      <w:tr>
        <w:tc>
          <w:tcPr>
            <w:tcW w:type="dxa" w:w="1814"/>
          </w:tcPr>
          <w:p>
            <w:pPr>
              <w:spacing w:after="40"/>
            </w:pPr>
            <w:r/>
            <w:r>
              <w:rPr>
                <w:b/>
                <w:color w:val="1F3B63"/>
                <w:sz w:val="18"/>
              </w:rPr>
              <w:t>Tema</w:t>
            </w:r>
          </w:p>
        </w:tc>
        <w:tc>
          <w:tcPr>
            <w:tcW w:type="dxa" w:w="3628"/>
          </w:tcPr>
          <w:p>
            <w:pPr>
              <w:spacing w:after="40"/>
            </w:pPr>
            <w:r/>
            <w:r>
              <w:rPr>
                <w:b/>
                <w:color w:val="1F3B63"/>
                <w:sz w:val="18"/>
              </w:rPr>
              <w:t>Âmbito A: retirada fora de emergência</w:t>
            </w:r>
          </w:p>
        </w:tc>
        <w:tc>
          <w:tcPr>
            <w:tcW w:type="dxa" w:w="3628"/>
          </w:tcPr>
          <w:p>
            <w:pPr>
              <w:spacing w:after="40"/>
            </w:pPr>
            <w:r/>
            <w:r>
              <w:rPr>
                <w:b/>
                <w:color w:val="1F3B63"/>
                <w:sz w:val="18"/>
              </w:rPr>
              <w:t>Âmbito B: socorro em emergência</w:t>
            </w:r>
          </w:p>
        </w:tc>
      </w:tr>
      <w:tr>
        <w:tc>
          <w:tcPr>
            <w:tcW w:type="dxa" w:w="1814"/>
          </w:tcPr>
          <w:p>
            <w:pPr>
              <w:spacing w:after="40"/>
              <w:jc w:val="left"/>
            </w:pPr>
            <w:r/>
            <w:r>
              <w:rPr>
                <w:sz w:val="17"/>
              </w:rPr>
              <w:t>Natureza da intervenção</w:t>
            </w:r>
          </w:p>
        </w:tc>
        <w:tc>
          <w:tcPr>
            <w:tcW w:type="dxa" w:w="3628"/>
          </w:tcPr>
          <w:p>
            <w:pPr>
              <w:spacing w:after="40"/>
              <w:jc w:val="left"/>
            </w:pPr>
            <w:r/>
            <w:r>
              <w:rPr>
                <w:sz w:val="17"/>
              </w:rPr>
              <w:t>Medida contra a vontade do detentor. Apreensão, prova, decisão de destino.</w:t>
            </w:r>
          </w:p>
        </w:tc>
        <w:tc>
          <w:tcPr>
            <w:tcW w:type="dxa" w:w="3628"/>
          </w:tcPr>
          <w:p>
            <w:pPr>
              <w:spacing w:after="40"/>
              <w:jc w:val="left"/>
            </w:pPr>
            <w:r/>
            <w:r>
              <w:rPr>
                <w:sz w:val="17"/>
              </w:rPr>
              <w:t>Socorro a animais de detentores que são vítimas. Guarda temporária e reunificação.</w:t>
            </w:r>
          </w:p>
        </w:tc>
      </w:tr>
      <w:tr>
        <w:tc>
          <w:tcPr>
            <w:tcW w:type="dxa" w:w="1814"/>
          </w:tcPr>
          <w:p>
            <w:pPr>
              <w:spacing w:after="40"/>
              <w:jc w:val="left"/>
            </w:pPr>
            <w:r/>
            <w:r>
              <w:rPr>
                <w:sz w:val="17"/>
              </w:rPr>
              <w:t>Quem comanda, segundo a lei</w:t>
            </w:r>
          </w:p>
        </w:tc>
        <w:tc>
          <w:tcPr>
            <w:tcW w:type="dxa" w:w="3628"/>
          </w:tcPr>
          <w:p>
            <w:pPr>
              <w:spacing w:after="40"/>
              <w:jc w:val="left"/>
            </w:pPr>
            <w:r/>
            <w:r>
              <w:rPr>
                <w:sz w:val="17"/>
              </w:rPr>
              <w:t>Depende da via: MP (penal), diretor-geral (RJCE e art.º 3.º-G), DGAV com câmaras e polícias (art.º 19.º, n.º 8), câmara municipal (DL 314/2003).</w:t>
            </w:r>
          </w:p>
        </w:tc>
        <w:tc>
          <w:tcPr>
            <w:tcW w:type="dxa" w:w="3628"/>
          </w:tcPr>
          <w:p>
            <w:pPr>
              <w:spacing w:after="40"/>
              <w:jc w:val="left"/>
            </w:pPr>
            <w:r/>
            <w:r>
              <w:rPr>
                <w:sz w:val="17"/>
              </w:rPr>
              <w:t>O COS (art.º 9.º do SIOPS). A DGAV integra o CCON, os CCOR, a Comissão Nacional e as comissões distritais de proteção civil.</w:t>
            </w:r>
          </w:p>
        </w:tc>
      </w:tr>
      <w:tr>
        <w:tc>
          <w:tcPr>
            <w:tcW w:type="dxa" w:w="1814"/>
          </w:tcPr>
          <w:p>
            <w:pPr>
              <w:spacing w:after="40"/>
              <w:jc w:val="left"/>
            </w:pPr>
            <w:r/>
            <w:r>
              <w:rPr>
                <w:sz w:val="17"/>
              </w:rPr>
              <w:t>O que a proposta faz bem</w:t>
            </w:r>
          </w:p>
        </w:tc>
        <w:tc>
          <w:tcPr>
            <w:tcW w:type="dxa" w:w="3628"/>
          </w:tcPr>
          <w:p>
            <w:pPr>
              <w:spacing w:after="40"/>
              <w:jc w:val="left"/>
            </w:pPr>
            <w:r/>
            <w:r>
              <w:rPr>
                <w:sz w:val="17"/>
              </w:rPr>
              <w:t>Cadeia de custódia, ficha individual, inventário, auto de entrega, proibição de cedência antecipada, faseamento acima de 50 animais.</w:t>
            </w:r>
          </w:p>
        </w:tc>
        <w:tc>
          <w:tcPr>
            <w:tcW w:type="dxa" w:w="3628"/>
          </w:tcPr>
          <w:p>
            <w:pPr>
              <w:spacing w:after="40"/>
              <w:jc w:val="left"/>
            </w:pPr>
            <w:r/>
            <w:r>
              <w:rPr>
                <w:sz w:val="17"/>
              </w:rPr>
              <w:t>Põe a DGAV a preparar-se para a Lei n.º 38/2026; mobiliza a bolsa de 106 médicos veterinários da OMV e a rede municipal.</w:t>
            </w:r>
          </w:p>
        </w:tc>
      </w:tr>
      <w:tr>
        <w:tc>
          <w:tcPr>
            <w:tcW w:type="dxa" w:w="1814"/>
          </w:tcPr>
          <w:p>
            <w:pPr>
              <w:spacing w:after="40"/>
              <w:jc w:val="left"/>
            </w:pPr>
            <w:r/>
            <w:r>
              <w:rPr>
                <w:sz w:val="17"/>
              </w:rPr>
              <w:t>O que falta</w:t>
            </w:r>
          </w:p>
        </w:tc>
        <w:tc>
          <w:tcPr>
            <w:tcW w:type="dxa" w:w="3628"/>
          </w:tcPr>
          <w:p>
            <w:pPr>
              <w:spacing w:after="40"/>
              <w:jc w:val="left"/>
            </w:pPr>
            <w:r/>
            <w:r>
              <w:rPr>
                <w:sz w:val="17"/>
              </w:rPr>
              <w:t>Lei 92/95, art.º 1.º-A; CPP; RJCE; DL 314/2003; presunção de abandono de 15 dias; cedência voluntária; acumulação de animais; SIAC; custos.</w:t>
            </w:r>
          </w:p>
        </w:tc>
        <w:tc>
          <w:tcPr>
            <w:tcW w:type="dxa" w:w="3628"/>
          </w:tcPr>
          <w:p>
            <w:pPr>
              <w:spacing w:after="40"/>
              <w:jc w:val="left"/>
            </w:pPr>
            <w:r/>
            <w:r>
              <w:rPr>
                <w:sz w:val="17"/>
              </w:rPr>
              <w:t>Integração no SIOPS; designação dos representantes da DGAV; reunificação via SIAC; presunção de 15 dias; planos de evacuação de alojamentos; eutanásia no terreno.</w:t>
            </w:r>
          </w:p>
        </w:tc>
      </w:tr>
      <w:tr>
        <w:tc>
          <w:tcPr>
            <w:tcW w:type="dxa" w:w="1814"/>
          </w:tcPr>
          <w:p>
            <w:pPr>
              <w:spacing w:after="40"/>
              <w:jc w:val="left"/>
            </w:pPr>
            <w:r/>
            <w:r>
              <w:rPr>
                <w:sz w:val="17"/>
              </w:rPr>
              <w:t>Necessidade legislativa principal</w:t>
            </w:r>
          </w:p>
        </w:tc>
        <w:tc>
          <w:tcPr>
            <w:tcW w:type="dxa" w:w="3628"/>
          </w:tcPr>
          <w:p>
            <w:pPr>
              <w:spacing w:after="40"/>
              <w:jc w:val="left"/>
            </w:pPr>
            <w:r/>
            <w:r>
              <w:rPr>
                <w:sz w:val="17"/>
              </w:rPr>
              <w:t>Regime único de retirada, custódia, destino e custos dos animais de companhia (a tratar no RGAC).</w:t>
            </w:r>
          </w:p>
        </w:tc>
        <w:tc>
          <w:tcPr>
            <w:tcW w:type="dxa" w:w="3628"/>
          </w:tcPr>
          <w:p>
            <w:pPr>
              <w:spacing w:after="40"/>
              <w:jc w:val="left"/>
            </w:pPr>
            <w:r/>
            <w:r>
              <w:rPr>
                <w:sz w:val="17"/>
              </w:rPr>
              <w:t>Norma sobre animais de companhia em emergência articulada com a Lei n.º 38/2026 (o projeto de RGAC é omisso).</w:t>
            </w:r>
          </w:p>
        </w:tc>
      </w:tr>
    </w:tbl>
    <w:p>
      <w:pPr>
        <w:spacing w:after="80"/>
      </w:pPr>
    </w:p>
    <w:p>
      <w:pPr>
        <w:keepNext/>
        <w:spacing w:before="360" w:after="120"/>
      </w:pPr>
      <w:r>
        <w:rPr>
          <w:b/>
          <w:color w:val="1F3B63"/>
          <w:sz w:val="27"/>
        </w:rPr>
        <w:t>2. O documento em análise</w:t>
      </w:r>
    </w:p>
    <w:p>
      <w:pPr>
        <w:spacing w:after="120"/>
      </w:pPr>
      <w:r>
        <w:rPr>
          <w:b w:val="0"/>
          <w:i w:val="0"/>
          <w:sz w:val="21"/>
        </w:rPr>
        <w:t>Texto conjunto da Ordem dos Médicos Veterinários (OMV) e da Associação Nacional dos Médicos Veterinários dos Municípios (ANVETEM), dirigido à Diretora-Geral de Alimentação e Veterinária, na sequência do Of. n.º 88/CD/2026, de 2.7.2026, e da reunião de 12.8.2026. Versão 3.0, de 26.8.2026, assinada digitalmente pelo Bastonário da OMV e pelo Presidente da ANVETEM.</w:t>
      </w:r>
    </w:p>
    <w:p>
      <w:pPr>
        <w:spacing w:after="120"/>
      </w:pPr>
      <w:r>
        <w:rPr>
          <w:b w:val="0"/>
          <w:i w:val="0"/>
          <w:sz w:val="21"/>
        </w:rPr>
        <w:t>A proposta declara que «não cria competências novas nem altera o quadro legal» e que se limita a operacionalizar o DL 276/2001, o DL 64/2000, o DL 142/2006, o DL 116/98 e a Lei n.º 38/2026. Pede que seja aprovada «por despacho ou orientação técnica da DGAV, dirigida às DSAVR, aos médicos veterinários municipais e às entidades participantes».</w:t>
      </w:r>
    </w:p>
    <w:p>
      <w:pPr>
        <w:spacing w:after="120"/>
      </w:pPr>
      <w:r>
        <w:rPr>
          <w:b w:val="0"/>
          <w:i w:val="0"/>
          <w:sz w:val="21"/>
        </w:rPr>
        <w:t>Estrutura: sete princípios (comando único, autoridade veterinária, responsabilidade clínica, cadeia de custódia, comunicação institucional, credenciação, planeamento); quatro tipologias; doze pontos (objeto, definições, planeamento, cinco fases operacionais, requisitos das entidades, encerramento, articulação com a proteção civil, calendário); Anexo I com os elementos mínimos de seis modelos (plano de operação, declaração de comando, ficha individual e registo de lote, auto de sequestro sanitário, auto de entrega e custódia, termo de compromisso).</w:t>
      </w:r>
    </w:p>
    <w:p>
      <w:pPr>
        <w:spacing w:after="120"/>
      </w:pPr>
      <w:r>
        <w:rPr>
          <w:b w:val="0"/>
          <w:i w:val="0"/>
          <w:sz w:val="21"/>
        </w:rPr>
        <w:t>O calendário proposto (ponto 12) prevê a constituição de um grupo de trabalho DGAV, OMV e ANVETEM em 30 dias e a versão final em 90 dias. Contados de 26.8.2026, o primeiro prazo terminou em 25.9.2026.</w:t>
      </w:r>
    </w:p>
    <w:p>
      <w:pPr>
        <w:keepNext/>
        <w:spacing w:before="360" w:after="120"/>
      </w:pPr>
      <w:r>
        <w:rPr>
          <w:b/>
          <w:color w:val="1F3B63"/>
          <w:sz w:val="27"/>
        </w:rPr>
        <w:t>3. Questões comuns aos dois âmbitos</w:t>
      </w:r>
    </w:p>
    <w:p>
      <w:pPr>
        <w:keepNext/>
        <w:spacing w:before="240" w:after="80"/>
      </w:pPr>
      <w:r>
        <w:rPr>
          <w:b/>
          <w:color w:val="1F3B63"/>
          <w:sz w:val="23"/>
        </w:rPr>
        <w:t>3.1 Que instrumento é e a quem vincula</w:t>
      </w:r>
    </w:p>
    <w:p>
      <w:pPr>
        <w:spacing w:after="120"/>
      </w:pPr>
      <w:r>
        <w:rPr>
          <w:b w:val="0"/>
          <w:i w:val="0"/>
          <w:sz w:val="21"/>
        </w:rPr>
        <w:t>Um despacho ou orientação técnica do diretor-geral obriga os serviços da DGAV, incluindo as DSAVR, por via hierárquica. Os médicos veterinários municipais estão numa posição diferente. Dependem hierarquicamente do presidente da câmara e a relação com os serviços do Ministério é funcional:</w:t>
      </w:r>
    </w:p>
    <w:p>
      <w:pPr>
        <w:spacing w:after="40"/>
        <w:ind w:left="454" w:right="227"/>
      </w:pPr>
      <w:r>
        <w:rPr>
          <w:i/>
          <w:sz w:val="19"/>
        </w:rPr>
        <w:t>«1 — Os médicos veterinários municipais dependem, hierárquica e disciplinarmente, do presidente da câmara da respectiva área da sua intervenção.</w:t>
      </w:r>
    </w:p>
    <w:p>
      <w:pPr>
        <w:spacing w:after="40"/>
        <w:ind w:left="454" w:right="227"/>
      </w:pPr>
      <w:r>
        <w:rPr>
          <w:i/>
          <w:sz w:val="19"/>
        </w:rPr>
        <w:t>2 — As relações funcionais dos médicos veterinários com o MADRP são asseguradas através das direcções regionais de agricultura e da articulação destas com a DGV e a DGFCQA, consoante a natureza das respectivas atribuições.</w:t>
      </w:r>
    </w:p>
    <w:p>
      <w:pPr>
        <w:spacing w:after="40"/>
        <w:ind w:left="454" w:right="227"/>
      </w:pPr>
      <w:r>
        <w:rPr>
          <w:i/>
          <w:sz w:val="19"/>
        </w:rPr>
        <w:t>3 — Entre os médicos veterinários municipais e os serviços mencionados no número anterior será estabelecido um programa de contactos regulares, sem prejuízo da possibilidade de convocação extraordinária por motivo urgente.</w:t>
      </w:r>
    </w:p>
    <w:p>
      <w:pPr>
        <w:spacing w:after="40"/>
        <w:ind w:left="454" w:right="227"/>
      </w:pPr>
      <w:r>
        <w:rPr>
          <w:i/>
          <w:sz w:val="19"/>
        </w:rPr>
        <w:t>4 — Em caso de concorrência de obrigações, prevalece o serviço municipal.»</w:t>
      </w:r>
    </w:p>
    <w:p>
      <w:pPr>
        <w:spacing w:after="160"/>
        <w:ind w:left="454"/>
      </w:pPr>
      <w:r>
        <w:rPr>
          <w:color w:val="555555"/>
          <w:sz w:val="17"/>
        </w:rPr>
        <w:t>n.ºs 1 a 4 do art.º 4.º do Decreto-Lei n.º 116/98, de 5 de maio (texto publicado no DR, I série-A, n.º 103)</w:t>
      </w:r>
    </w:p>
    <w:p>
      <w:pPr>
        <w:spacing w:after="120"/>
      </w:pPr>
      <w:r>
        <w:rPr>
          <w:b w:val="0"/>
          <w:i w:val="0"/>
          <w:sz w:val="21"/>
        </w:rPr>
        <w:t>As câmaras municipais, as forças de segurança, o Ministério Público e as associações não estão sujeitos a orientações da DGAV, salvo onde a lei lhes impõe um dever concreto (por exemplo, o n.º 6 do art.º 3.º-G e o n.º 9 do art.º 19.º do DL 276/2001).</w:t>
      </w:r>
    </w:p>
    <w:p>
      <w:pPr>
        <w:spacing w:after="120"/>
      </w:pPr>
      <w:r>
        <w:rPr>
          <w:b/>
          <w:color w:val="1F3B63"/>
        </w:rPr>
        <w:t xml:space="preserve">Apreciação. </w:t>
      </w:r>
      <w:r>
        <w:t>O texto só produz os efeitos pretendidos se for desdobrado em três instrumentos: despacho do diretor-geral para os serviços da DGAV; protocolo com a ANMP, a OMV e a ANVETEM (e, idealmente, com a GNR e a PSP) para os restantes; termo de compromisso para as entidades que colaborem. A «convocação formal» do médico veterinário municipal com 48 horas (ponto 5.1.2) tem apoio na «convocação extraordinária por motivo urgente», mas o n.º 4 do art.º 4.º faz prevalecer o serviço municipal. A convocação deve ser dirigida também ao presidente da câmara.</w:t>
      </w:r>
    </w:p>
    <w:p>
      <w:pPr>
        <w:keepNext/>
        <w:spacing w:before="240" w:after="80"/>
      </w:pPr>
      <w:r>
        <w:rPr>
          <w:b/>
          <w:color w:val="1F3B63"/>
          <w:sz w:val="23"/>
        </w:rPr>
        <w:t>3.2 A nota dos proponentes sobre o DL 116/98 está só parcialmente certa</w:t>
      </w:r>
    </w:p>
    <w:p>
      <w:pPr>
        <w:spacing w:after="120"/>
      </w:pPr>
      <w:r>
        <w:rPr>
          <w:b w:val="0"/>
          <w:i w:val="0"/>
          <w:sz w:val="21"/>
        </w:rPr>
        <w:t>A nota ao ponto 5.1.1 afirma que o DL 116/98 não refere expressamente competências em bem-estar animal. É verdade quanto aos poderes de autoridade sanitária, que se limitam à sanidade animal e à saúde pública:</w:t>
      </w:r>
    </w:p>
    <w:p>
      <w:pPr>
        <w:spacing w:after="40"/>
        <w:ind w:left="454" w:right="227"/>
      </w:pPr>
      <w:r>
        <w:rPr>
          <w:i/>
          <w:sz w:val="19"/>
        </w:rPr>
        <w:t>«3 — Os poderes de autoridade sanitária veterinária são conferidos aos médicos veterinários municipais, por inerência de cargo, pela Direcção-Geral de Veterinária (DGV), enquanto autoridade sanitária veterinária nacional, e pela Direcção-Geral de Fiscalização e Controlo da Qualidade Alimentar (DGFCQA), a título pessoal, não delegável e abrangendo a actividade por eles exercida na respectiva área concelhia, quando esteja em causa a sanidade animal ou a saúde pública.»</w:t>
      </w:r>
    </w:p>
    <w:p>
      <w:pPr>
        <w:spacing w:after="160"/>
        <w:ind w:left="454"/>
      </w:pPr>
      <w:r>
        <w:rPr>
          <w:color w:val="555555"/>
          <w:sz w:val="17"/>
        </w:rPr>
        <w:t>n.º 3 do art.º 2.º do Decreto-Lei n.º 116/98, de 5 de maio (texto publicado no DR, I série-A, n.º 103)</w:t>
      </w:r>
    </w:p>
    <w:p>
      <w:pPr>
        <w:spacing w:after="120"/>
      </w:pPr>
      <w:r>
        <w:rPr>
          <w:b w:val="0"/>
          <w:i w:val="0"/>
          <w:sz w:val="21"/>
        </w:rPr>
        <w:t>Não é verdade quanto ao dever de colaboração, que nomeia expressamente o bem-estar animal:</w:t>
      </w:r>
    </w:p>
    <w:p>
      <w:pPr>
        <w:spacing w:after="40"/>
        <w:ind w:left="454" w:right="227"/>
      </w:pPr>
      <w:r>
        <w:rPr>
          <w:i/>
          <w:sz w:val="19"/>
        </w:rPr>
        <w:t>«1 — Os médicos veterinários municipais têm o dever de, nos termos da legislação vigente, colaborar com o Ministério da Agricultura, do Desenvolvimento Rural e das Pescas (MADRP), na área do respectivo município, em todas as acções levadas a efeito nos domínios da saúde e bem-estar animal, da saúde pública veterinária, da segurança da cadeia alimentar de origem animal, da inspecção hígio-sanitária, do controlo de higiene da produção, da transformação e da alimentação animal e dos controlos veterinários de animais e produtos provenientes das trocas intracomunitárias e importados de países terceiros, programadas e desencadeadas pelos serviços competentes, designadamente a DGV e a DGFCQA.»</w:t>
      </w:r>
    </w:p>
    <w:p>
      <w:pPr>
        <w:spacing w:after="160"/>
        <w:ind w:left="454"/>
      </w:pPr>
      <w:r>
        <w:rPr>
          <w:color w:val="555555"/>
          <w:sz w:val="17"/>
        </w:rPr>
        <w:t>n.º 1 do art.º 3.º do Decreto-Lei n.º 116/98, de 5 de maio (texto publicado no DR, I série-A, n.º 103)</w:t>
      </w:r>
    </w:p>
    <w:p>
      <w:pPr>
        <w:spacing w:after="120"/>
      </w:pPr>
      <w:r>
        <w:rPr>
          <w:b w:val="0"/>
          <w:i w:val="0"/>
          <w:sz w:val="21"/>
        </w:rPr>
        <w:t>Acresce que o DL 276/2001 inclui os médicos veterinários municipais entre as autoridades competentes para efeitos desse diploma:</w:t>
      </w:r>
    </w:p>
    <w:p>
      <w:pPr>
        <w:spacing w:after="40"/>
        <w:ind w:left="454" w:right="227"/>
      </w:pPr>
      <w:r>
        <w:rPr>
          <w:i/>
          <w:sz w:val="19"/>
        </w:rPr>
        <w:t>«x) «Autoridade competente» a Direção-Geral de Alimentação e Veterinária (DGAV), enquanto autoridade sanitária veterinária nacional, os médicos veterinários municipais, enquanto autoridades sanitárias veterinárias concelhias, as câmaras municipais, o Instituto da Conservação da Natureza e das Florestas, I. P. (ICNF, I. P.), a Guarda Nacional Republicana (GNR), a Polícia de Segurança Pública (PSP) e a Polícia Municipal (PM);»</w:t>
      </w:r>
    </w:p>
    <w:p>
      <w:pPr>
        <w:spacing w:after="160"/>
        <w:ind w:left="454"/>
      </w:pPr>
      <w:r>
        <w:rPr>
          <w:color w:val="555555"/>
          <w:sz w:val="17"/>
        </w:rPr>
        <w:t>al. x), do n.º 1, do art.º 2.º do Decreto-Lei n.º 276/2001, de 17 de outubro (versão consolidada)</w:t>
      </w:r>
    </w:p>
    <w:p>
      <w:pPr>
        <w:spacing w:after="120"/>
      </w:pPr>
      <w:r>
        <w:rPr>
          <w:b/>
          <w:color w:val="1F3B63"/>
        </w:rPr>
        <w:t xml:space="preserve">Apreciação. </w:t>
      </w:r>
      <w:r>
        <w:t>A convocação do médico veterinário municipal tem, assim, três fundamentos e não dois: o dever de colaboração em bem-estar animal (n.º 1 do art.º 3.º do DL 116/98), a qualidade de autoridade competente no DL 276/2001 e as competências municipais de recolha. A lacuna que os proponentes apontam existe, mas é mais estreita: o que falta é estender ao bem-estar animal a decisão «sem dependência hierárquica» do n.º 4 do art.º 2.º do DL 116/98, que hoje só cobre a saúde pública. É matéria legislativa, não de procedimento.</w:t>
      </w:r>
    </w:p>
    <w:p>
      <w:pPr>
        <w:keepNext/>
        <w:spacing w:before="240" w:after="80"/>
      </w:pPr>
      <w:r>
        <w:rPr>
          <w:b/>
          <w:color w:val="1F3B63"/>
          <w:sz w:val="23"/>
        </w:rPr>
        <w:t>3.3 Remissões e designações a corrigir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tcPr>
          <w:p>
            <w:pPr>
              <w:spacing w:after="40"/>
            </w:pPr>
            <w:r/>
            <w:r>
              <w:rPr>
                <w:b/>
                <w:color w:val="1F3B63"/>
                <w:sz w:val="18"/>
              </w:rPr>
              <w:t>Ponto</w:t>
            </w:r>
          </w:p>
        </w:tc>
        <w:tc>
          <w:tcPr>
            <w:tcW w:type="dxa" w:w="2041"/>
          </w:tcPr>
          <w:p>
            <w:pPr>
              <w:spacing w:after="40"/>
            </w:pPr>
            <w:r/>
            <w:r>
              <w:rPr>
                <w:b/>
                <w:color w:val="1F3B63"/>
                <w:sz w:val="18"/>
              </w:rPr>
              <w:t>O que diz a proposta</w:t>
            </w:r>
          </w:p>
        </w:tc>
        <w:tc>
          <w:tcPr>
            <w:tcW w:type="dxa" w:w="3402"/>
          </w:tcPr>
          <w:p>
            <w:pPr>
              <w:spacing w:after="40"/>
            </w:pPr>
            <w:r/>
            <w:r>
              <w:rPr>
                <w:b/>
                <w:color w:val="1F3B63"/>
                <w:sz w:val="18"/>
              </w:rPr>
              <w:t>Verificação</w:t>
            </w:r>
          </w:p>
        </w:tc>
        <w:tc>
          <w:tcPr>
            <w:tcW w:type="dxa" w:w="2948"/>
          </w:tcPr>
          <w:p>
            <w:pPr>
              <w:spacing w:after="40"/>
            </w:pPr>
            <w:r/>
            <w:r>
              <w:rPr>
                <w:b/>
                <w:color w:val="1F3B63"/>
                <w:sz w:val="18"/>
              </w:rPr>
              <w:t>Correção sugerida</w:t>
            </w:r>
          </w:p>
        </w:tc>
      </w:tr>
      <w:tr>
        <w:tc>
          <w:tcPr>
            <w:tcW w:type="dxa" w:w="680"/>
          </w:tcPr>
          <w:p>
            <w:pPr>
              <w:spacing w:after="40"/>
              <w:jc w:val="left"/>
            </w:pPr>
            <w:r/>
            <w:r>
              <w:rPr>
                <w:sz w:val="17"/>
              </w:rPr>
              <w:t>6.1</w:t>
            </w:r>
          </w:p>
        </w:tc>
        <w:tc>
          <w:tcPr>
            <w:tcW w:type="dxa" w:w="2041"/>
          </w:tcPr>
          <w:p>
            <w:pPr>
              <w:spacing w:after="40"/>
              <w:jc w:val="left"/>
            </w:pPr>
            <w:r/>
            <w:r>
              <w:rPr>
                <w:sz w:val="17"/>
              </w:rPr>
              <w:t>Responsabilidade clínica «nos termos do artigo 4.º do DL n.º 276/2001».</w:t>
            </w:r>
          </w:p>
        </w:tc>
        <w:tc>
          <w:tcPr>
            <w:tcW w:type="dxa" w:w="3402"/>
          </w:tcPr>
          <w:p>
            <w:pPr>
              <w:spacing w:after="40"/>
              <w:jc w:val="left"/>
            </w:pPr>
            <w:r/>
            <w:r>
              <w:rPr>
                <w:sz w:val="17"/>
              </w:rPr>
              <w:t>O art.º 4.º trata do médico veterinário responsável pelo alojamento, ao serviço do titular. O n.º 2, al. c), obriga-o a colaborar com as autoridades. O n.º 3 põe os CRO sob responsabilidade técnica do médico veterinário municipal. Não funda a direção clínica de uma operação oficial.</w:t>
            </w:r>
          </w:p>
        </w:tc>
        <w:tc>
          <w:tcPr>
            <w:tcW w:type="dxa" w:w="2948"/>
          </w:tcPr>
          <w:p>
            <w:pPr>
              <w:spacing w:after="40"/>
              <w:jc w:val="left"/>
            </w:pPr>
            <w:r/>
            <w:r>
              <w:rPr>
                <w:sz w:val="17"/>
              </w:rPr>
              <w:t>Fundar a responsabilidade clínica na designação pela autoridade. Citar o art.º 4.º apenas para o dever de colaboração do veterinário do alojamento e para os animais que dão entrada em CRO.</w:t>
            </w:r>
          </w:p>
        </w:tc>
      </w:tr>
      <w:tr>
        <w:tc>
          <w:tcPr>
            <w:tcW w:type="dxa" w:w="680"/>
          </w:tcPr>
          <w:p>
            <w:pPr>
              <w:spacing w:after="40"/>
              <w:jc w:val="left"/>
            </w:pPr>
            <w:r/>
            <w:r>
              <w:rPr>
                <w:sz w:val="17"/>
              </w:rPr>
              <w:t>2 e 11.1</w:t>
            </w:r>
          </w:p>
        </w:tc>
        <w:tc>
          <w:tcPr>
            <w:tcW w:type="dxa" w:w="2041"/>
          </w:tcPr>
          <w:p>
            <w:pPr>
              <w:spacing w:after="40"/>
              <w:jc w:val="left"/>
            </w:pPr>
            <w:r/>
            <w:r>
              <w:rPr>
                <w:sz w:val="17"/>
              </w:rPr>
              <w:t>«Zona de Concentração para Acolhimento de Animais» (ZCAA).</w:t>
            </w:r>
          </w:p>
        </w:tc>
        <w:tc>
          <w:tcPr>
            <w:tcW w:type="dxa" w:w="3402"/>
          </w:tcPr>
          <w:p>
            <w:pPr>
              <w:spacing w:after="40"/>
              <w:jc w:val="left"/>
            </w:pPr>
            <w:r/>
            <w:r>
              <w:rPr>
                <w:sz w:val="17"/>
              </w:rPr>
              <w:t>A designação legal é «zona de concentração de acolhimento de animais» (al. d) do art.º 13.º do SIOPS).</w:t>
            </w:r>
          </w:p>
        </w:tc>
        <w:tc>
          <w:tcPr>
            <w:tcW w:type="dxa" w:w="2948"/>
          </w:tcPr>
          <w:p>
            <w:pPr>
              <w:spacing w:after="40"/>
              <w:jc w:val="left"/>
            </w:pPr>
            <w:r/>
            <w:r>
              <w:rPr>
                <w:sz w:val="17"/>
              </w:rPr>
              <w:t>Usar a designação legal.</w:t>
            </w:r>
          </w:p>
        </w:tc>
      </w:tr>
      <w:tr>
        <w:tc>
          <w:tcPr>
            <w:tcW w:type="dxa" w:w="680"/>
          </w:tcPr>
          <w:p>
            <w:pPr>
              <w:spacing w:after="40"/>
              <w:jc w:val="left"/>
            </w:pPr>
            <w:r/>
            <w:r>
              <w:rPr>
                <w:sz w:val="17"/>
              </w:rPr>
              <w:t>9.1</w:t>
            </w:r>
          </w:p>
        </w:tc>
        <w:tc>
          <w:tcPr>
            <w:tcW w:type="dxa" w:w="2041"/>
          </w:tcPr>
          <w:p>
            <w:pPr>
              <w:spacing w:after="40"/>
              <w:jc w:val="left"/>
            </w:pPr>
            <w:r/>
            <w:r>
              <w:rPr>
                <w:sz w:val="17"/>
              </w:rPr>
              <w:t>Reconhecimento pelo município «nos termos da Lei n.º 38/2026».</w:t>
            </w:r>
          </w:p>
        </w:tc>
        <w:tc>
          <w:tcPr>
            <w:tcW w:type="dxa" w:w="3402"/>
          </w:tcPr>
          <w:p>
            <w:pPr>
              <w:spacing w:after="40"/>
              <w:jc w:val="left"/>
            </w:pPr>
            <w:r/>
            <w:r>
              <w:rPr>
                <w:sz w:val="17"/>
              </w:rPr>
              <w:t>A Lei n.º 38/2026 só usa o reconhecimento municipal para definir quem integra a comissão municipal de proteção civil (al. k) do art.º 41.º da LBPC). Não cria um regime de reconhecimento para operações.</w:t>
            </w:r>
          </w:p>
        </w:tc>
        <w:tc>
          <w:tcPr>
            <w:tcW w:type="dxa" w:w="2948"/>
          </w:tcPr>
          <w:p>
            <w:pPr>
              <w:spacing w:after="40"/>
              <w:jc w:val="left"/>
            </w:pPr>
            <w:r/>
            <w:r>
              <w:rPr>
                <w:sz w:val="17"/>
              </w:rPr>
              <w:t>Apresentar como recomendação aos municípios, não como requisito legal.</w:t>
            </w:r>
          </w:p>
        </w:tc>
      </w:tr>
      <w:tr>
        <w:tc>
          <w:tcPr>
            <w:tcW w:type="dxa" w:w="680"/>
          </w:tcPr>
          <w:p>
            <w:pPr>
              <w:spacing w:after="40"/>
              <w:jc w:val="left"/>
            </w:pPr>
            <w:r/>
            <w:r>
              <w:rPr>
                <w:sz w:val="17"/>
              </w:rPr>
              <w:t>9.1</w:t>
            </w:r>
          </w:p>
        </w:tc>
        <w:tc>
          <w:tcPr>
            <w:tcW w:type="dxa" w:w="2041"/>
          </w:tcPr>
          <w:p>
            <w:pPr>
              <w:spacing w:after="40"/>
              <w:jc w:val="left"/>
            </w:pPr>
            <w:r/>
            <w:r>
              <w:rPr>
                <w:sz w:val="17"/>
              </w:rPr>
              <w:t>«Registo Nacional de Associações Zoófilas (SIAC/RNAZ), nos termos da RCM n.º 78/2021».</w:t>
            </w:r>
          </w:p>
        </w:tc>
        <w:tc>
          <w:tcPr>
            <w:tcW w:type="dxa" w:w="3402"/>
          </w:tcPr>
          <w:p>
            <w:pPr>
              <w:spacing w:after="40"/>
              <w:jc w:val="left"/>
            </w:pPr>
            <w:r/>
            <w:r>
              <w:rPr>
                <w:sz w:val="17"/>
              </w:rPr>
              <w:t>A RCM n.º 78/2021 previu um registo nacional das associações zoófilas «junto do ICNF, I. P.». É ato programático; não cria requisitos com efeitos externos. A existência e a gestão atuais do registo estão por confirmar.</w:t>
            </w:r>
          </w:p>
        </w:tc>
        <w:tc>
          <w:tcPr>
            <w:tcW w:type="dxa" w:w="2948"/>
          </w:tcPr>
          <w:p>
            <w:pPr>
              <w:spacing w:after="40"/>
              <w:jc w:val="left"/>
            </w:pPr>
            <w:r/>
            <w:r>
              <w:rPr>
                <w:sz w:val="17"/>
              </w:rPr>
              <w:t>Confirmar o estado do registo. Não o usar como condição legal.</w:t>
            </w:r>
          </w:p>
        </w:tc>
      </w:tr>
      <w:tr>
        <w:tc>
          <w:tcPr>
            <w:tcW w:type="dxa" w:w="680"/>
          </w:tcPr>
          <w:p>
            <w:pPr>
              <w:spacing w:after="40"/>
              <w:jc w:val="left"/>
            </w:pPr>
            <w:r/>
            <w:r>
              <w:rPr>
                <w:sz w:val="17"/>
              </w:rPr>
              <w:t>11.1</w:t>
            </w:r>
          </w:p>
        </w:tc>
        <w:tc>
          <w:tcPr>
            <w:tcW w:type="dxa" w:w="2041"/>
          </w:tcPr>
          <w:p>
            <w:pPr>
              <w:spacing w:after="40"/>
              <w:jc w:val="left"/>
            </w:pPr>
            <w:r/>
            <w:r>
              <w:rPr>
                <w:sz w:val="17"/>
              </w:rPr>
              <w:t>Integração da DGAV nos níveis «nacional, regional e distrital» de coordenação.</w:t>
            </w:r>
          </w:p>
        </w:tc>
        <w:tc>
          <w:tcPr>
            <w:tcW w:type="dxa" w:w="3402"/>
          </w:tcPr>
          <w:p>
            <w:pPr>
              <w:spacing w:after="40"/>
              <w:jc w:val="left"/>
            </w:pPr>
            <w:r/>
            <w:r>
              <w:rPr>
                <w:sz w:val="17"/>
              </w:rPr>
              <w:t>Correto em substância: Comissão Nacional (al. f) do n.º 1 do art.º 37.º da LBPC), comissões distritais (al. i) do n.º 1 do art.º 39.º), CCON (al. k) do n.º 2 do art.º 3.º do SIOPS) e CCOR (al. j) do n.º 2 do art.º 4.º do SIOPS). A DGAV não integra os CCO sub-regionais.</w:t>
            </w:r>
          </w:p>
        </w:tc>
        <w:tc>
          <w:tcPr>
            <w:tcW w:type="dxa" w:w="2948"/>
          </w:tcPr>
          <w:p>
            <w:pPr>
              <w:spacing w:after="40"/>
              <w:jc w:val="left"/>
            </w:pPr>
            <w:r/>
            <w:r>
              <w:rPr>
                <w:sz w:val="17"/>
              </w:rPr>
              <w:t>Manter, com as normas indicadas.</w:t>
            </w:r>
          </w:p>
        </w:tc>
      </w:tr>
      <w:tr>
        <w:tc>
          <w:tcPr>
            <w:tcW w:type="dxa" w:w="680"/>
          </w:tcPr>
          <w:p>
            <w:pPr>
              <w:spacing w:after="40"/>
              <w:jc w:val="left"/>
            </w:pPr>
            <w:r/>
            <w:r>
              <w:rPr>
                <w:sz w:val="17"/>
              </w:rPr>
              <w:t>7.1</w:t>
            </w:r>
          </w:p>
        </w:tc>
        <w:tc>
          <w:tcPr>
            <w:tcW w:type="dxa" w:w="2041"/>
          </w:tcPr>
          <w:p>
            <w:pPr>
              <w:spacing w:after="40"/>
              <w:jc w:val="left"/>
            </w:pPr>
            <w:r/>
            <w:r>
              <w:rPr>
                <w:sz w:val="17"/>
              </w:rPr>
              <w:t>Alojamento em CRO «nos termos do n.º 9 do artigo 19.º».</w:t>
            </w:r>
          </w:p>
        </w:tc>
        <w:tc>
          <w:tcPr>
            <w:tcW w:type="dxa" w:w="3402"/>
          </w:tcPr>
          <w:p>
            <w:pPr>
              <w:spacing w:after="40"/>
              <w:jc w:val="left"/>
            </w:pPr>
            <w:r/>
            <w:r>
              <w:rPr>
                <w:sz w:val="17"/>
              </w:rPr>
              <w:t>Correto. O mesmo n.º 9 prevê ainda «designadamente o seu abate», hoje limitado pelos n.ºs 4 a 6 do art.º 3.º da Lei n.º 27/2016.</w:t>
            </w:r>
          </w:p>
        </w:tc>
        <w:tc>
          <w:tcPr>
            <w:tcW w:type="dxa" w:w="2948"/>
          </w:tcPr>
          <w:p>
            <w:pPr>
              <w:spacing w:after="40"/>
              <w:jc w:val="left"/>
            </w:pPr>
            <w:r/>
            <w:r>
              <w:rPr>
                <w:sz w:val="17"/>
              </w:rPr>
              <w:t>Acrescentar a ressalva da Lei n.º 27/2016.</w:t>
            </w:r>
          </w:p>
        </w:tc>
      </w:tr>
      <w:tr>
        <w:tc>
          <w:tcPr>
            <w:tcW w:type="dxa" w:w="680"/>
          </w:tcPr>
          <w:p>
            <w:pPr>
              <w:spacing w:after="40"/>
              <w:jc w:val="left"/>
            </w:pPr>
            <w:r/>
            <w:r>
              <w:rPr>
                <w:sz w:val="17"/>
              </w:rPr>
              <w:t>4.5</w:t>
            </w:r>
          </w:p>
        </w:tc>
        <w:tc>
          <w:tcPr>
            <w:tcW w:type="dxa" w:w="2041"/>
          </w:tcPr>
          <w:p>
            <w:pPr>
              <w:spacing w:after="40"/>
              <w:jc w:val="left"/>
            </w:pPr>
            <w:r/>
            <w:r>
              <w:rPr>
                <w:sz w:val="17"/>
              </w:rPr>
              <w:t>Mandado judicial «a que se refere o n.º 8 do artigo 19.º».</w:t>
            </w:r>
          </w:p>
        </w:tc>
        <w:tc>
          <w:tcPr>
            <w:tcW w:type="dxa" w:w="3402"/>
          </w:tcPr>
          <w:p>
            <w:pPr>
              <w:spacing w:after="40"/>
              <w:jc w:val="left"/>
            </w:pPr>
            <w:r/>
            <w:r>
              <w:rPr>
                <w:sz w:val="17"/>
              </w:rPr>
              <w:t>Correto, mas incompleto. Há também o n.º 2 do art.º 67.º-A do DL 276/2001 (alojamentos), o n.º 2 do art.º 1.º-A da Lei n.º 92/95 (crime de maus-tratos) e as buscas do CPP.</w:t>
            </w:r>
          </w:p>
        </w:tc>
        <w:tc>
          <w:tcPr>
            <w:tcW w:type="dxa" w:w="2948"/>
          </w:tcPr>
          <w:p>
            <w:pPr>
              <w:spacing w:after="40"/>
              <w:jc w:val="left"/>
            </w:pPr>
            <w:r/>
            <w:r>
              <w:rPr>
                <w:sz w:val="17"/>
              </w:rPr>
              <w:t>Indicar todas as bases, por via legal (ver 4.2).</w:t>
            </w:r>
          </w:p>
        </w:tc>
      </w:tr>
    </w:tbl>
    <w:p>
      <w:pPr>
        <w:spacing w:after="80"/>
      </w:pPr>
    </w:p>
    <w:p>
      <w:pPr>
        <w:keepNext/>
        <w:spacing w:before="240" w:after="80"/>
      </w:pPr>
      <w:r>
        <w:rPr>
          <w:b/>
          <w:color w:val="1F3B63"/>
          <w:sz w:val="23"/>
        </w:rPr>
        <w:t>3.4 Um só texto para quatro tipologias</w:t>
      </w:r>
    </w:p>
    <w:p>
      <w:pPr>
        <w:spacing w:after="120"/>
      </w:pPr>
      <w:r>
        <w:rPr>
          <w:b/>
          <w:color w:val="1F3B63"/>
        </w:rPr>
        <w:t xml:space="preserve">Apreciação. </w:t>
      </w:r>
      <w:r>
        <w:t>Para quem trabalha com animais de companhia, boa parte do texto é ruído: sequestro sanitário, registo de lote, SNIRA, occisão segundo o Regulamento (CE) n.º 1099/2009, intervalos de segurança e cadeia alimentar. O inverso também é verdade. Recomenda-se um tronco comum (princípios, registo, custódia, biossegurança, comunicação, relatório) e módulos por espécie e por situação. Para os animais de companhia, dois módulos: retirada fora de emergência e socorro.</w:t>
      </w:r>
    </w:p>
    <w:p>
      <w:pPr>
        <w:keepNext/>
        <w:spacing w:before="360" w:after="120"/>
      </w:pPr>
      <w:r>
        <w:rPr>
          <w:b/>
          <w:color w:val="1F3B63"/>
          <w:sz w:val="27"/>
        </w:rPr>
        <w:t>4. Âmbito A: retirada de animais de alojamentos fora de emergência</w:t>
      </w:r>
    </w:p>
    <w:p>
      <w:pPr>
        <w:keepNext/>
        <w:spacing w:before="240" w:after="80"/>
      </w:pPr>
      <w:r>
        <w:rPr>
          <w:b/>
          <w:color w:val="1F3B63"/>
          <w:sz w:val="23"/>
        </w:rPr>
        <w:t>4.1 Situações-tipo</w:t>
      </w:r>
    </w:p>
    <w:p>
      <w:pPr>
        <w:spacing w:after="120"/>
      </w:pPr>
      <w:r>
        <w:rPr>
          <w:b w:val="0"/>
          <w:i w:val="0"/>
          <w:sz w:val="21"/>
        </w:rPr>
        <w:t>Para animais de companhia, a retirada fora de emergência aparece em cinco situações, com regimes legais diferentes:</w:t>
      </w:r>
    </w:p>
    <w:p>
      <w:pPr>
        <w:pStyle w:val="ListBullet"/>
        <w:spacing w:after="60"/>
        <w:jc w:val="both"/>
      </w:pPr>
      <w:r>
        <w:rPr>
          <w:b/>
        </w:rPr>
        <w:t xml:space="preserve">a) </w:t>
      </w:r>
      <w:r>
        <w:rPr>
          <w:sz w:val="21"/>
        </w:rPr>
        <w:t>Alojamento registado por mera comunicação prévia (criação comercial ou hospedagem) com maus-tratos ou graves problemas de saúde e bem-estar. O requerimento parlamentar de 13.7.2026 sobre o caso de Amarante refere «mais de 300 cães de um alojamento pertencente a uma criadora registada» na DGAV.</w:t>
      </w:r>
    </w:p>
    <w:p>
      <w:pPr>
        <w:pStyle w:val="ListBullet"/>
        <w:spacing w:after="60"/>
        <w:jc w:val="both"/>
      </w:pPr>
      <w:r>
        <w:rPr>
          <w:b/>
        </w:rPr>
        <w:t xml:space="preserve">b) </w:t>
      </w:r>
      <w:r>
        <w:rPr>
          <w:sz w:val="21"/>
        </w:rPr>
        <w:t>Alojamento ou criação sem registo, que funciona como estabelecimento.</w:t>
      </w:r>
    </w:p>
    <w:p>
      <w:pPr>
        <w:pStyle w:val="ListBullet"/>
        <w:spacing w:after="60"/>
        <w:jc w:val="both"/>
      </w:pPr>
      <w:r>
        <w:rPr>
          <w:b/>
        </w:rPr>
        <w:t xml:space="preserve">c) </w:t>
      </w:r>
      <w:r>
        <w:rPr>
          <w:sz w:val="21"/>
        </w:rPr>
        <w:t>Habitação com número excessivo de animais, insalubridade ou acumulação patológica (Síndrome de Noé), muitas vezes com detentor em situação de vulnerabilidade.</w:t>
      </w:r>
    </w:p>
    <w:p>
      <w:pPr>
        <w:pStyle w:val="ListBullet"/>
        <w:spacing w:after="60"/>
        <w:jc w:val="both"/>
      </w:pPr>
      <w:r>
        <w:rPr>
          <w:b/>
        </w:rPr>
        <w:t xml:space="preserve">d) </w:t>
      </w:r>
      <w:r>
        <w:rPr>
          <w:sz w:val="21"/>
        </w:rPr>
        <w:t>Maus-tratos a um ou poucos animais num domicílio.</w:t>
      </w:r>
    </w:p>
    <w:p>
      <w:pPr>
        <w:pStyle w:val="ListBullet"/>
        <w:spacing w:after="60"/>
        <w:jc w:val="both"/>
      </w:pPr>
      <w:r>
        <w:rPr>
          <w:b/>
        </w:rPr>
        <w:t xml:space="preserve">e) </w:t>
      </w:r>
      <w:r>
        <w:rPr>
          <w:sz w:val="21"/>
        </w:rPr>
        <w:t>Suspeita de uso de animais em lutas.</w:t>
      </w:r>
    </w:p>
    <w:p>
      <w:pPr>
        <w:keepNext/>
        <w:spacing w:before="240" w:after="80"/>
      </w:pPr>
      <w:r>
        <w:rPr>
          <w:b/>
          <w:color w:val="1F3B63"/>
          <w:sz w:val="23"/>
        </w:rPr>
        <w:t>4.2 Legislação vigente: seis vias, seis decisores</w:t>
      </w:r>
    </w:p>
    <w:p>
      <w:pPr>
        <w:spacing w:after="120"/>
      </w:pPr>
      <w:r>
        <w:rPr>
          <w:b w:val="0"/>
          <w:i w:val="0"/>
          <w:sz w:val="21"/>
        </w:rPr>
        <w:t>O quadro seguinte é descritivo. Indica, para cada via, a base legal, quem decide, quem executa, onde ficam os animais e quem decide o destino.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247"/>
          </w:tcPr>
          <w:p>
            <w:pPr>
              <w:spacing w:after="40"/>
            </w:pPr>
            <w:r/>
            <w:r>
              <w:rPr>
                <w:b/>
                <w:color w:val="1F3B63"/>
                <w:sz w:val="17"/>
              </w:rPr>
              <w:t>Via</w:t>
            </w:r>
          </w:p>
        </w:tc>
        <w:tc>
          <w:tcPr>
            <w:tcW w:type="dxa" w:w="2041"/>
          </w:tcPr>
          <w:p>
            <w:pPr>
              <w:spacing w:after="40"/>
            </w:pPr>
            <w:r/>
            <w:r>
              <w:rPr>
                <w:b/>
                <w:color w:val="1F3B63"/>
                <w:sz w:val="17"/>
              </w:rPr>
              <w:t>Base legal vigente</w:t>
            </w:r>
          </w:p>
        </w:tc>
        <w:tc>
          <w:tcPr>
            <w:tcW w:type="dxa" w:w="1474"/>
          </w:tcPr>
          <w:p>
            <w:pPr>
              <w:spacing w:after="40"/>
            </w:pPr>
            <w:r/>
            <w:r>
              <w:rPr>
                <w:b/>
                <w:color w:val="1F3B63"/>
                <w:sz w:val="17"/>
              </w:rPr>
              <w:t>Decide</w:t>
            </w:r>
          </w:p>
        </w:tc>
        <w:tc>
          <w:tcPr>
            <w:tcW w:type="dxa" w:w="1361"/>
          </w:tcPr>
          <w:p>
            <w:pPr>
              <w:spacing w:after="40"/>
            </w:pPr>
            <w:r/>
            <w:r>
              <w:rPr>
                <w:b/>
                <w:color w:val="1F3B63"/>
                <w:sz w:val="17"/>
              </w:rPr>
              <w:t>Executa</w:t>
            </w:r>
          </w:p>
        </w:tc>
        <w:tc>
          <w:tcPr>
            <w:tcW w:type="dxa" w:w="1474"/>
          </w:tcPr>
          <w:p>
            <w:pPr>
              <w:spacing w:after="40"/>
            </w:pPr>
            <w:r/>
            <w:r>
              <w:rPr>
                <w:b/>
                <w:color w:val="1F3B63"/>
                <w:sz w:val="17"/>
              </w:rPr>
              <w:t>Custódia</w:t>
            </w:r>
          </w:p>
        </w:tc>
        <w:tc>
          <w:tcPr>
            <w:tcW w:type="dxa" w:w="1474"/>
          </w:tcPr>
          <w:p>
            <w:pPr>
              <w:spacing w:after="40"/>
            </w:pPr>
            <w:r/>
            <w:r>
              <w:rPr>
                <w:b/>
                <w:color w:val="1F3B63"/>
                <w:sz w:val="17"/>
              </w:rPr>
              <w:t>Destino</w:t>
            </w:r>
          </w:p>
        </w:tc>
      </w:tr>
      <w:tr>
        <w:tc>
          <w:tcPr>
            <w:tcW w:type="dxa" w:w="1247"/>
          </w:tcPr>
          <w:p>
            <w:pPr>
              <w:spacing w:after="40"/>
              <w:jc w:val="left"/>
            </w:pPr>
            <w:r/>
            <w:r>
              <w:rPr>
                <w:sz w:val="16"/>
              </w:rPr>
              <w:t>V1. Penal</w:t>
            </w:r>
          </w:p>
        </w:tc>
        <w:tc>
          <w:tcPr>
            <w:tcW w:type="dxa" w:w="2041"/>
          </w:tcPr>
          <w:p>
            <w:pPr>
              <w:spacing w:after="40"/>
              <w:jc w:val="left"/>
            </w:pPr>
            <w:r/>
            <w:r>
              <w:rPr>
                <w:sz w:val="16"/>
              </w:rPr>
              <w:t>CP, arts. 387.º e 388.º; Lei 92/95, art.º 1.º-A; CPP, arts. 159.º-A, 178.º, 186.º e 249.º</w:t>
            </w:r>
          </w:p>
        </w:tc>
        <w:tc>
          <w:tcPr>
            <w:tcW w:type="dxa" w:w="1474"/>
          </w:tcPr>
          <w:p>
            <w:pPr>
              <w:spacing w:after="40"/>
              <w:jc w:val="left"/>
            </w:pPr>
            <w:r/>
            <w:r>
              <w:rPr>
                <w:sz w:val="16"/>
              </w:rPr>
              <w:t>Ministério Público; juiz (mandados); OPC em urgência</w:t>
            </w:r>
          </w:p>
        </w:tc>
        <w:tc>
          <w:tcPr>
            <w:tcW w:type="dxa" w:w="1361"/>
          </w:tcPr>
          <w:p>
            <w:pPr>
              <w:spacing w:after="40"/>
              <w:jc w:val="left"/>
            </w:pPr>
            <w:r/>
            <w:r>
              <w:rPr>
                <w:sz w:val="16"/>
              </w:rPr>
              <w:t>OPC; DGAV e municípios (art.º 1.º-A)</w:t>
            </w:r>
          </w:p>
        </w:tc>
        <w:tc>
          <w:tcPr>
            <w:tcW w:type="dxa" w:w="1474"/>
          </w:tcPr>
          <w:p>
            <w:pPr>
              <w:spacing w:after="40"/>
              <w:jc w:val="left"/>
            </w:pPr>
            <w:r/>
            <w:r>
              <w:rPr>
                <w:sz w:val="16"/>
              </w:rPr>
              <w:t>Depositário idóneo (CPP, art.º 178.º, n.º 2)</w:t>
            </w:r>
          </w:p>
        </w:tc>
        <w:tc>
          <w:tcPr>
            <w:tcW w:type="dxa" w:w="1474"/>
          </w:tcPr>
          <w:p>
            <w:pPr>
              <w:spacing w:after="40"/>
              <w:jc w:val="left"/>
            </w:pPr>
            <w:r/>
            <w:r>
              <w:rPr>
                <w:sz w:val="16"/>
              </w:rPr>
              <w:t>Autoridade judiciária; perda a favor do Estado ou pena acessória (CP, art.º 388.º-A)</w:t>
            </w:r>
          </w:p>
        </w:tc>
      </w:tr>
      <w:tr>
        <w:tc>
          <w:tcPr>
            <w:tcW w:type="dxa" w:w="1247"/>
          </w:tcPr>
          <w:p>
            <w:pPr>
              <w:spacing w:after="40"/>
              <w:jc w:val="left"/>
            </w:pPr>
            <w:r/>
            <w:r>
              <w:rPr>
                <w:sz w:val="16"/>
              </w:rPr>
              <w:t>V2. Contraordenacional cautelar</w:t>
            </w:r>
          </w:p>
        </w:tc>
        <w:tc>
          <w:tcPr>
            <w:tcW w:type="dxa" w:w="2041"/>
          </w:tcPr>
          <w:p>
            <w:pPr>
              <w:spacing w:after="40"/>
              <w:jc w:val="left"/>
            </w:pPr>
            <w:r/>
            <w:r>
              <w:rPr>
                <w:sz w:val="16"/>
              </w:rPr>
              <w:t>DL 276/2001, arts. 68.º a 70.º; RJCE, arts. 48.º a 52.º</w:t>
            </w:r>
          </w:p>
        </w:tc>
        <w:tc>
          <w:tcPr>
            <w:tcW w:type="dxa" w:w="1474"/>
          </w:tcPr>
          <w:p>
            <w:pPr>
              <w:spacing w:after="40"/>
              <w:jc w:val="left"/>
            </w:pPr>
            <w:r/>
            <w:r>
              <w:rPr>
                <w:sz w:val="16"/>
              </w:rPr>
              <w:t>Diretor-geral (ou diretor do OPC instrutor)</w:t>
            </w:r>
          </w:p>
        </w:tc>
        <w:tc>
          <w:tcPr>
            <w:tcW w:type="dxa" w:w="1361"/>
          </w:tcPr>
          <w:p>
            <w:pPr>
              <w:spacing w:after="40"/>
              <w:jc w:val="left"/>
            </w:pPr>
            <w:r/>
            <w:r>
              <w:rPr>
                <w:sz w:val="16"/>
              </w:rPr>
              <w:t>DGAV; OPC</w:t>
            </w:r>
          </w:p>
        </w:tc>
        <w:tc>
          <w:tcPr>
            <w:tcW w:type="dxa" w:w="1474"/>
          </w:tcPr>
          <w:p>
            <w:pPr>
              <w:spacing w:after="40"/>
              <w:jc w:val="left"/>
            </w:pPr>
            <w:r/>
            <w:r>
              <w:rPr>
                <w:sz w:val="16"/>
              </w:rPr>
              <w:t>Detentor como fiel depositário, salvo manifesto inconveniente (RJCE, art.º 49.º, n.º 3)</w:t>
            </w:r>
          </w:p>
        </w:tc>
        <w:tc>
          <w:tcPr>
            <w:tcW w:type="dxa" w:w="1474"/>
          </w:tcPr>
          <w:p>
            <w:pPr>
              <w:spacing w:after="40"/>
              <w:jc w:val="left"/>
            </w:pPr>
            <w:r/>
            <w:r>
              <w:rPr>
                <w:sz w:val="16"/>
              </w:rPr>
              <w:t>Autoridade administrativa; destino antecipado (RJCE, art.º 50.º); perda (DL 276/2001, art.º 69.º, al. a))</w:t>
            </w:r>
          </w:p>
        </w:tc>
      </w:tr>
      <w:tr>
        <w:tc>
          <w:tcPr>
            <w:tcW w:type="dxa" w:w="1247"/>
          </w:tcPr>
          <w:p>
            <w:pPr>
              <w:spacing w:after="40"/>
              <w:jc w:val="left"/>
            </w:pPr>
            <w:r/>
            <w:r>
              <w:rPr>
                <w:sz w:val="16"/>
              </w:rPr>
              <w:t>V3. Recolha por bem-estar</w:t>
            </w:r>
          </w:p>
        </w:tc>
        <w:tc>
          <w:tcPr>
            <w:tcW w:type="dxa" w:w="2041"/>
          </w:tcPr>
          <w:p>
            <w:pPr>
              <w:spacing w:after="40"/>
              <w:jc w:val="left"/>
            </w:pPr>
            <w:r/>
            <w:r>
              <w:rPr>
                <w:sz w:val="16"/>
              </w:rPr>
              <w:t>DL 276/2001, art.º 19.º, n.ºs 8 e 9</w:t>
            </w:r>
          </w:p>
        </w:tc>
        <w:tc>
          <w:tcPr>
            <w:tcW w:type="dxa" w:w="1474"/>
          </w:tcPr>
          <w:p>
            <w:pPr>
              <w:spacing w:after="40"/>
              <w:jc w:val="left"/>
            </w:pPr>
            <w:r/>
            <w:r>
              <w:rPr>
                <w:sz w:val="16"/>
              </w:rPr>
              <w:t>DGAV</w:t>
            </w:r>
          </w:p>
        </w:tc>
        <w:tc>
          <w:tcPr>
            <w:tcW w:type="dxa" w:w="1361"/>
          </w:tcPr>
          <w:p>
            <w:pPr>
              <w:spacing w:after="40"/>
              <w:jc w:val="left"/>
            </w:pPr>
            <w:r/>
            <w:r>
              <w:rPr>
                <w:sz w:val="16"/>
              </w:rPr>
              <w:t>DGAV, câmaras «se necessário» e polícias</w:t>
            </w:r>
          </w:p>
        </w:tc>
        <w:tc>
          <w:tcPr>
            <w:tcW w:type="dxa" w:w="1474"/>
          </w:tcPr>
          <w:p>
            <w:pPr>
              <w:spacing w:after="40"/>
              <w:jc w:val="left"/>
            </w:pPr>
            <w:r/>
            <w:r>
              <w:rPr>
                <w:sz w:val="16"/>
              </w:rPr>
              <w:t>CRO</w:t>
            </w:r>
          </w:p>
        </w:tc>
        <w:tc>
          <w:tcPr>
            <w:tcW w:type="dxa" w:w="1474"/>
          </w:tcPr>
          <w:p>
            <w:pPr>
              <w:spacing w:after="40"/>
              <w:jc w:val="left"/>
            </w:pPr>
            <w:r/>
            <w:r>
              <w:rPr>
                <w:sz w:val="16"/>
              </w:rPr>
              <w:t>DGAV</w:t>
            </w:r>
          </w:p>
        </w:tc>
      </w:tr>
      <w:tr>
        <w:tc>
          <w:tcPr>
            <w:tcW w:type="dxa" w:w="1247"/>
          </w:tcPr>
          <w:p>
            <w:pPr>
              <w:spacing w:after="40"/>
              <w:jc w:val="left"/>
            </w:pPr>
            <w:r/>
            <w:r>
              <w:rPr>
                <w:sz w:val="16"/>
              </w:rPr>
              <w:t>V4. Suspensão ou encerramento do alojamento</w:t>
            </w:r>
          </w:p>
        </w:tc>
        <w:tc>
          <w:tcPr>
            <w:tcW w:type="dxa" w:w="2041"/>
          </w:tcPr>
          <w:p>
            <w:pPr>
              <w:spacing w:after="40"/>
              <w:jc w:val="left"/>
            </w:pPr>
            <w:r/>
            <w:r>
              <w:rPr>
                <w:sz w:val="16"/>
              </w:rPr>
              <w:t>DL 276/2001, arts. 3.º-G a 3.º-I e 67.º-A</w:t>
            </w:r>
          </w:p>
        </w:tc>
        <w:tc>
          <w:tcPr>
            <w:tcW w:type="dxa" w:w="1474"/>
          </w:tcPr>
          <w:p>
            <w:pPr>
              <w:spacing w:after="40"/>
              <w:jc w:val="left"/>
            </w:pPr>
            <w:r/>
            <w:r>
              <w:rPr>
                <w:sz w:val="16"/>
              </w:rPr>
              <w:t>Diretor-geral, sob proposta da DSAVR</w:t>
            </w:r>
          </w:p>
        </w:tc>
        <w:tc>
          <w:tcPr>
            <w:tcW w:type="dxa" w:w="1361"/>
          </w:tcPr>
          <w:p>
            <w:pPr>
              <w:spacing w:after="40"/>
              <w:jc w:val="left"/>
            </w:pPr>
            <w:r/>
            <w:r>
              <w:rPr>
                <w:sz w:val="16"/>
              </w:rPr>
              <w:t>Câmaras municipais (art.º 3.º-G, n.º 6)</w:t>
            </w:r>
          </w:p>
        </w:tc>
        <w:tc>
          <w:tcPr>
            <w:tcW w:type="dxa" w:w="1474"/>
          </w:tcPr>
          <w:p>
            <w:pPr>
              <w:spacing w:after="40"/>
              <w:jc w:val="left"/>
            </w:pPr>
            <w:r/>
            <w:r>
              <w:rPr>
                <w:sz w:val="16"/>
              </w:rPr>
              <w:t>Recolha pela câmara; local não definido</w:t>
            </w:r>
          </w:p>
        </w:tc>
        <w:tc>
          <w:tcPr>
            <w:tcW w:type="dxa" w:w="1474"/>
          </w:tcPr>
          <w:p>
            <w:pPr>
              <w:spacing w:after="40"/>
              <w:jc w:val="left"/>
            </w:pPr>
            <w:r/>
            <w:r>
              <w:rPr>
                <w:sz w:val="16"/>
              </w:rPr>
              <w:t>Não regulado</w:t>
            </w:r>
          </w:p>
        </w:tc>
      </w:tr>
      <w:tr>
        <w:tc>
          <w:tcPr>
            <w:tcW w:type="dxa" w:w="1247"/>
          </w:tcPr>
          <w:p>
            <w:pPr>
              <w:spacing w:after="40"/>
              <w:jc w:val="left"/>
            </w:pPr>
            <w:r/>
            <w:r>
              <w:rPr>
                <w:sz w:val="16"/>
              </w:rPr>
              <w:t>V5. Salubridade e limites por fogo</w:t>
            </w:r>
          </w:p>
        </w:tc>
        <w:tc>
          <w:tcPr>
            <w:tcW w:type="dxa" w:w="2041"/>
          </w:tcPr>
          <w:p>
            <w:pPr>
              <w:spacing w:after="40"/>
              <w:jc w:val="left"/>
            </w:pPr>
            <w:r/>
            <w:r>
              <w:rPr>
                <w:sz w:val="16"/>
              </w:rPr>
              <w:t>DL 314/2003, art.º 3.º, n.ºs 1 a 6</w:t>
            </w:r>
          </w:p>
        </w:tc>
        <w:tc>
          <w:tcPr>
            <w:tcW w:type="dxa" w:w="1474"/>
          </w:tcPr>
          <w:p>
            <w:pPr>
              <w:spacing w:after="40"/>
              <w:jc w:val="left"/>
            </w:pPr>
            <w:r/>
            <w:r>
              <w:rPr>
                <w:sz w:val="16"/>
              </w:rPr>
              <w:t>Câmara municipal, após vistoria conjunta do delegado de saúde e do MVM</w:t>
            </w:r>
          </w:p>
        </w:tc>
        <w:tc>
          <w:tcPr>
            <w:tcW w:type="dxa" w:w="1361"/>
          </w:tcPr>
          <w:p>
            <w:pPr>
              <w:spacing w:after="40"/>
              <w:jc w:val="left"/>
            </w:pPr>
            <w:r/>
            <w:r>
              <w:rPr>
                <w:sz w:val="16"/>
              </w:rPr>
              <w:t>Câmara municipal</w:t>
            </w:r>
          </w:p>
        </w:tc>
        <w:tc>
          <w:tcPr>
            <w:tcW w:type="dxa" w:w="1474"/>
          </w:tcPr>
          <w:p>
            <w:pPr>
              <w:spacing w:after="40"/>
              <w:jc w:val="left"/>
            </w:pPr>
            <w:r/>
            <w:r>
              <w:rPr>
                <w:sz w:val="16"/>
              </w:rPr>
              <w:t>Canil ou gatil municipal, ou outro destino escolhido pelo detentor</w:t>
            </w:r>
          </w:p>
        </w:tc>
        <w:tc>
          <w:tcPr>
            <w:tcW w:type="dxa" w:w="1474"/>
          </w:tcPr>
          <w:p>
            <w:pPr>
              <w:spacing w:after="40"/>
              <w:jc w:val="left"/>
            </w:pPr>
            <w:r/>
            <w:r>
              <w:rPr>
                <w:sz w:val="16"/>
              </w:rPr>
              <w:t>Regime do CRO</w:t>
            </w:r>
          </w:p>
        </w:tc>
      </w:tr>
      <w:tr>
        <w:tc>
          <w:tcPr>
            <w:tcW w:type="dxa" w:w="1247"/>
          </w:tcPr>
          <w:p>
            <w:pPr>
              <w:spacing w:after="40"/>
              <w:jc w:val="left"/>
            </w:pPr>
            <w:r/>
            <w:r>
              <w:rPr>
                <w:sz w:val="16"/>
              </w:rPr>
              <w:t>V6. Regime do CRO (aplica-se por arrastamento)</w:t>
            </w:r>
          </w:p>
        </w:tc>
        <w:tc>
          <w:tcPr>
            <w:tcW w:type="dxa" w:w="2041"/>
          </w:tcPr>
          <w:p>
            <w:pPr>
              <w:spacing w:after="40"/>
              <w:jc w:val="left"/>
            </w:pPr>
            <w:r/>
            <w:r>
              <w:rPr>
                <w:sz w:val="16"/>
              </w:rPr>
              <w:t>Lei 27/2016, art.º 3.º; DL 276/2001, art.º 4.º, n.º 3; DL 82/2019, art.º 11.º, n.º 5</w:t>
            </w:r>
          </w:p>
        </w:tc>
        <w:tc>
          <w:tcPr>
            <w:tcW w:type="dxa" w:w="1474"/>
          </w:tcPr>
          <w:p>
            <w:pPr>
              <w:spacing w:after="40"/>
              <w:jc w:val="left"/>
            </w:pPr>
            <w:r/>
            <w:r>
              <w:rPr>
                <w:sz w:val="16"/>
              </w:rPr>
              <w:t>Câmara / MVM</w:t>
            </w:r>
          </w:p>
        </w:tc>
        <w:tc>
          <w:tcPr>
            <w:tcW w:type="dxa" w:w="1361"/>
          </w:tcPr>
          <w:p>
            <w:pPr>
              <w:spacing w:after="40"/>
              <w:jc w:val="left"/>
            </w:pPr>
            <w:r/>
            <w:r>
              <w:rPr>
                <w:sz w:val="16"/>
              </w:rPr>
              <w:t>CRO</w:t>
            </w:r>
          </w:p>
        </w:tc>
        <w:tc>
          <w:tcPr>
            <w:tcW w:type="dxa" w:w="1474"/>
          </w:tcPr>
          <w:p>
            <w:pPr>
              <w:spacing w:after="40"/>
              <w:jc w:val="left"/>
            </w:pPr>
            <w:r/>
            <w:r>
              <w:rPr>
                <w:sz w:val="16"/>
              </w:rPr>
              <w:t>CRO</w:t>
            </w:r>
          </w:p>
        </w:tc>
        <w:tc>
          <w:tcPr>
            <w:tcW w:type="dxa" w:w="1474"/>
          </w:tcPr>
          <w:p>
            <w:pPr>
              <w:spacing w:after="40"/>
              <w:jc w:val="left"/>
            </w:pPr>
            <w:r/>
            <w:r>
              <w:rPr>
                <w:sz w:val="16"/>
              </w:rPr>
              <w:t>Presunção de abandono aos 15 dias e encaminhamento para adoção</w:t>
            </w:r>
          </w:p>
        </w:tc>
      </w:tr>
    </w:tbl>
    <w:p>
      <w:pPr>
        <w:spacing w:after="80"/>
      </w:pPr>
    </w:p>
    <w:p>
      <w:pPr>
        <w:keepNext/>
        <w:spacing w:before="160" w:after="60"/>
      </w:pPr>
      <w:r>
        <w:rPr>
          <w:b/>
          <w:sz w:val="21"/>
        </w:rPr>
        <w:t>V1. A via penal e a Lei n.º 92/95</w:t>
      </w:r>
    </w:p>
    <w:p>
      <w:pPr>
        <w:spacing w:after="120"/>
      </w:pPr>
      <w:r>
        <w:rPr>
          <w:b w:val="0"/>
          <w:i w:val="0"/>
          <w:sz w:val="21"/>
        </w:rPr>
        <w:t>Desde 1.10.2020, a lei impõe um dever de atuação a quatro entidades, entre as quais a DGAV:</w:t>
      </w:r>
    </w:p>
    <w:p>
      <w:pPr>
        <w:spacing w:after="40"/>
        <w:ind w:left="454" w:right="227"/>
      </w:pPr>
      <w:r>
        <w:rPr>
          <w:i/>
          <w:sz w:val="19"/>
        </w:rPr>
        <w:t>«1 - Em caso de evidência de sinais da prática de crimes de maus-tratos contra animais de companhia, as forças de segurança, os órgãos de polícia criminal, a Direção-Geral de Alimentação e Veterinária e os municípios devem desencadear os meios para proceder à recolha ou captura dos mesmos.</w:t>
      </w:r>
    </w:p>
    <w:p>
      <w:pPr>
        <w:spacing w:after="40"/>
        <w:ind w:left="454" w:right="227"/>
      </w:pPr>
      <w:r>
        <w:rPr>
          <w:i/>
          <w:sz w:val="19"/>
        </w:rPr>
        <w:t>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pPr>
        <w:spacing w:after="160"/>
        <w:ind w:left="454"/>
      </w:pPr>
      <w:r>
        <w:rPr>
          <w:color w:val="555555"/>
          <w:sz w:val="17"/>
        </w:rPr>
        <w:t>n.ºs 1 e 2 do art.º 1.º-A da Lei n.º 92/95, de 12 de setembro (versão consolidada), aditado pela Lei n.º 39/2020</w:t>
      </w:r>
    </w:p>
    <w:p>
      <w:pPr>
        <w:spacing w:after="120"/>
      </w:pPr>
      <w:r>
        <w:rPr>
          <w:b w:val="0"/>
          <w:i w:val="0"/>
          <w:sz w:val="21"/>
        </w:rPr>
        <w:t>O Código de Processo Penal passou a tratar os animais apreendidos de forma própria:</w:t>
      </w:r>
    </w:p>
    <w:p>
      <w:pPr>
        <w:spacing w:after="40"/>
        <w:ind w:left="454" w:right="227"/>
      </w:pPr>
      <w:r>
        <w:rPr>
          <w:i/>
          <w:sz w:val="19"/>
        </w:rPr>
        <w:t>«2 — Os instrumentos, produtos ou vantagens e demais objetos apreendidos nos termos do número anterior são juntos ao processo, quando possível, e, quando não, confiados à guarda do funcionário de justiça adstrito ao processo ou de um depositário, de tudo se fazendo menção no auto, devendo os animais apreendidos ser confiados à guarda de depositários idóneos para a função com a possibilidade de serem ordenadas as diligências de prestação de cuidados, como a alimentação e demais deveres previstos no Código Civil.»</w:t>
      </w:r>
    </w:p>
    <w:p>
      <w:pPr>
        <w:spacing w:after="160"/>
        <w:ind w:left="454"/>
      </w:pPr>
      <w:r>
        <w:rPr>
          <w:color w:val="555555"/>
          <w:sz w:val="17"/>
        </w:rPr>
        <w:t>n.º 2 do art.º 178.º do Código de Processo Penal, na redação da Lei n.º 39/2020, de 18 de agosto</w:t>
      </w:r>
    </w:p>
    <w:p>
      <w:pPr>
        <w:spacing w:after="40"/>
        <w:ind w:left="454" w:right="227"/>
      </w:pPr>
      <w:r>
        <w:rPr>
          <w:i/>
          <w:sz w:val="19"/>
        </w:rPr>
        <w:t>«1 — Logo que se tornar desnecessário manter a apreensão para efeito de prova, os animais, as coisas ou os objetos apreendidos são restituídos a quem de direito ou, no caso dos animais, a quem tenha sido nomeado seu fiel depositário.»</w:t>
      </w:r>
    </w:p>
    <w:p>
      <w:pPr>
        <w:spacing w:after="160"/>
        <w:ind w:left="454"/>
      </w:pPr>
      <w:r>
        <w:rPr>
          <w:color w:val="555555"/>
          <w:sz w:val="17"/>
        </w:rPr>
        <w:t>n.º 1 do art.º 186.º do Código de Processo Penal, na redação da Lei n.º 39/2020, de 18 de agosto</w:t>
      </w:r>
    </w:p>
    <w:p>
      <w:pPr>
        <w:spacing w:after="40"/>
        <w:ind w:left="454" w:right="227"/>
      </w:pPr>
      <w:r>
        <w:rPr>
          <w:i/>
          <w:sz w:val="19"/>
        </w:rPr>
        <w:t>«7 — No que respeita à restituição de animais, deve ser sempre salvaguardado que estão reunidas as condições de bem-estar animal previstas na lei.»</w:t>
      </w:r>
    </w:p>
    <w:p>
      <w:pPr>
        <w:spacing w:after="160"/>
        <w:ind w:left="454"/>
      </w:pPr>
      <w:r>
        <w:rPr>
          <w:color w:val="555555"/>
          <w:sz w:val="17"/>
        </w:rPr>
        <w:t>n.º 7 do art.º 186.º do Código de Processo Penal, na redação da Lei n.º 39/2020, de 18 de agosto</w:t>
      </w:r>
    </w:p>
    <w:p>
      <w:pPr>
        <w:spacing w:after="40"/>
        <w:ind w:left="454" w:right="227"/>
      </w:pPr>
      <w:r>
        <w:rPr>
          <w:i/>
          <w:sz w:val="19"/>
        </w:rPr>
        <w:t>«c) Proceder a apreensões no decurso de revistas ou buscas ou em caso de urgência ou perigo na demora, bem como adotar as medidas cautelares necessárias à conservação da integridade dos animais e à conservação ou manutenção das coisas e dos objetos apreendidos.»</w:t>
      </w:r>
    </w:p>
    <w:p>
      <w:pPr>
        <w:spacing w:after="160"/>
        <w:ind w:left="454"/>
      </w:pPr>
      <w:r>
        <w:rPr>
          <w:color w:val="555555"/>
          <w:sz w:val="17"/>
        </w:rPr>
        <w:t>al. c), do n.º 2, do art.º 249.º do Código de Processo Penal, na redação da Lei n.º 39/2020, de 18 de agosto</w:t>
      </w:r>
    </w:p>
    <w:p>
      <w:pPr>
        <w:spacing w:after="40"/>
        <w:ind w:left="454" w:right="227"/>
      </w:pPr>
      <w:r>
        <w:rPr>
          <w:i/>
          <w:sz w:val="19"/>
        </w:rPr>
        <w:t>«1 — As perícias médico-veterinárias legais e forenses devem ser realizadas por entidades designadas pela autoridade judiciária, nomeadamente o Instituto Nacional de Investigação Agrária e Veterinária, as faculdades que reúnam as condições para o efeito, bem como médicos veterinários e médicos veterinários municipais.»</w:t>
      </w:r>
    </w:p>
    <w:p>
      <w:pPr>
        <w:spacing w:after="160"/>
        <w:ind w:left="454"/>
      </w:pPr>
      <w:r>
        <w:rPr>
          <w:color w:val="555555"/>
          <w:sz w:val="17"/>
        </w:rPr>
        <w:t>n.º 1 do art.º 159.º-A do Código de Processo Penal, na redação da Lei n.º 39/2020, de 18 de agosto</w:t>
      </w:r>
    </w:p>
    <w:p>
      <w:pPr>
        <w:spacing w:after="120"/>
      </w:pPr>
      <w:r>
        <w:rPr>
          <w:b w:val="0"/>
          <w:i w:val="0"/>
          <w:sz w:val="21"/>
        </w:rPr>
        <w:t>As associações zoófilas têm posição processual própria:</w:t>
      </w:r>
    </w:p>
    <w:p>
      <w:pPr>
        <w:spacing w:after="40"/>
        <w:ind w:left="454" w:right="227"/>
      </w:pPr>
      <w:r>
        <w:rPr>
          <w:i/>
          <w:sz w:val="19"/>
        </w:rPr>
        <w:t>«As associações zoófilas legalmente constituídas têm legitimidade para requerer a todas as autoridades e tribunais as medidas preventivas e urgentes necessárias e adequadas para evitar violações em curso ou iminentes da presente lei.»</w:t>
      </w:r>
    </w:p>
    <w:p>
      <w:pPr>
        <w:spacing w:after="160"/>
        <w:ind w:left="454"/>
      </w:pPr>
      <w:r>
        <w:rPr>
          <w:color w:val="555555"/>
          <w:sz w:val="17"/>
        </w:rPr>
        <w:t>art.º 9.º da Lei n.º 92/95, de 12 de setembro (versão consolidada)</w:t>
      </w:r>
    </w:p>
    <w:p>
      <w:pPr>
        <w:spacing w:after="40"/>
        <w:ind w:left="454" w:right="227"/>
      </w:pPr>
      <w:r>
        <w:rPr>
          <w:i/>
          <w:sz w:val="19"/>
        </w:rPr>
        <w:t>«1 - As associações zoófilas podem constituir-se assistentes em todos os processos originados ou relacionados com a violação da presente lei e ficam dispensadas de pagamento de custas e taxa de justiça, beneficiando do regime previsto na Lei n.º 83/95, de 31 de agosto, com as necessárias adaptações.»</w:t>
      </w:r>
    </w:p>
    <w:p>
      <w:pPr>
        <w:spacing w:after="160"/>
        <w:ind w:left="454"/>
      </w:pPr>
      <w:r>
        <w:rPr>
          <w:color w:val="555555"/>
          <w:sz w:val="17"/>
        </w:rPr>
        <w:t>n.º 1 do art.º 10.º da Lei n.º 92/95, de 12 de setembro (versão consolidada)</w:t>
      </w:r>
    </w:p>
    <w:p>
      <w:pPr>
        <w:keepNext/>
        <w:spacing w:before="160" w:after="60"/>
      </w:pPr>
      <w:r>
        <w:rPr>
          <w:b/>
          <w:sz w:val="21"/>
        </w:rPr>
        <w:t>V2. A via contraordenacional e as medidas cautelares do RJCE</w:t>
      </w:r>
    </w:p>
    <w:p>
      <w:pPr>
        <w:spacing w:after="120"/>
      </w:pPr>
      <w:r>
        <w:rPr>
          <w:b w:val="0"/>
          <w:i w:val="0"/>
          <w:sz w:val="21"/>
        </w:rPr>
        <w:t>As contraordenações do DL 276/2001 são contraordenações económicas (art.º 68.º). O RJCE permite medidas cautelares sem audição prévia e a apreensão de seres vivos:</w:t>
      </w:r>
    </w:p>
    <w:p>
      <w:pPr>
        <w:spacing w:after="40"/>
        <w:ind w:left="454" w:right="227"/>
      </w:pPr>
      <w:r>
        <w:rPr>
          <w:i/>
          <w:sz w:val="19"/>
        </w:rPr>
        <w:t>«1 — Quando esteja em causa o exercício ilegal de atividades, a existência de risco grave ou iminente para a saúde e a segurança das pessoas, animais ou bens ou para o ambiente, a violação grave de direitos dos consumidores ou quando se revele necessário para a instrução do processo de contraordenação, a autoridade administrativa competente pode determinar, sem audição prévia dos interessados, as seguintes medidas cautelares:</w:t>
      </w:r>
    </w:p>
    <w:p>
      <w:pPr>
        <w:spacing w:after="40"/>
        <w:ind w:left="454" w:right="227"/>
      </w:pPr>
      <w:r>
        <w:rPr>
          <w:i/>
          <w:sz w:val="19"/>
        </w:rPr>
        <w:t>a) A suspensão, total ou parcial, do exercício de atividades económicas;</w:t>
      </w:r>
    </w:p>
    <w:p>
      <w:pPr>
        <w:spacing w:after="40"/>
        <w:ind w:left="454" w:right="227"/>
      </w:pPr>
      <w:r>
        <w:rPr>
          <w:i/>
          <w:sz w:val="19"/>
        </w:rPr>
        <w:t>b) A cessação de práticas proibidas nos termos das disposições legais aplicáveis que se encontrem em curso;</w:t>
      </w:r>
    </w:p>
    <w:p>
      <w:pPr>
        <w:spacing w:after="40"/>
        <w:ind w:left="454" w:right="227"/>
      </w:pPr>
      <w:r>
        <w:rPr>
          <w:i/>
          <w:sz w:val="19"/>
        </w:rPr>
        <w:t>c) O encerramento, no todo ou em parte, de estabelecimentos ou de espaços que se encontrem adstritos ao apoio às atividades exercidas;</w:t>
      </w:r>
    </w:p>
    <w:p>
      <w:pPr>
        <w:spacing w:after="40"/>
        <w:ind w:left="454" w:right="227"/>
      </w:pPr>
      <w:r>
        <w:rPr>
          <w:i/>
          <w:sz w:val="19"/>
        </w:rPr>
        <w:t>d) A apreensão ou selagem de todos ou parte dos bens;</w:t>
      </w:r>
    </w:p>
    <w:p>
      <w:pPr>
        <w:spacing w:after="40"/>
        <w:ind w:left="454" w:right="227"/>
      </w:pPr>
      <w:r>
        <w:rPr>
          <w:i/>
          <w:sz w:val="19"/>
        </w:rPr>
        <w:t>e) A imposição das medidas que se mostrem adequadas à prevenção de danos à saúde e à segurança das pessoas, animais ou bens ou de danos ambientais, à reposição da situação anterior à infração e à minimização dos efeitos decorrentes da mesma.»</w:t>
      </w:r>
    </w:p>
    <w:p>
      <w:pPr>
        <w:spacing w:after="160"/>
        <w:ind w:left="454"/>
      </w:pPr>
      <w:r>
        <w:rPr>
          <w:color w:val="555555"/>
          <w:sz w:val="17"/>
        </w:rPr>
        <w:t>n.º 1 do art.º 48.º do Regime Jurídico das Contraordenações Económicas, anexo ao Decreto-Lei n.º 9/2021, de 29 de janeiro</w:t>
      </w:r>
    </w:p>
    <w:p>
      <w:pPr>
        <w:spacing w:after="40"/>
        <w:ind w:left="454" w:right="227"/>
      </w:pPr>
      <w:r>
        <w:rPr>
          <w:i/>
          <w:sz w:val="19"/>
        </w:rPr>
        <w:t>«1 — A autoridade administrativa competente pode, sem audição prévia do interessado, determinar a apreensão de bens ou seres vivos e de documentos, que serviram ou estavam destinados a servir para a prática de uma contraordenação económica ou que em consequência desta foram produzidos, ou quando tais bens ou seres vivos representem, pela sua natureza ou pelas circunstâncias do caso, perigo para a saúde e a segurança de pessoas e bens ou exista sério risco da sua utilização para a prática de um crime ou de outra contraordenação, ou quaisquer outros que forem suscetíveis de servir de prova.»</w:t>
      </w:r>
    </w:p>
    <w:p>
      <w:pPr>
        <w:spacing w:after="160"/>
        <w:ind w:left="454"/>
      </w:pPr>
      <w:r>
        <w:rPr>
          <w:color w:val="555555"/>
          <w:sz w:val="17"/>
        </w:rPr>
        <w:t>n.º 1 do art.º 49.º do Regime Jurídico das Contraordenações Económicas, anexo ao Decreto-Lei n.º 9/2021, de 29 de janeiro</w:t>
      </w:r>
    </w:p>
    <w:p>
      <w:pPr>
        <w:spacing w:after="40"/>
        <w:ind w:left="454" w:right="227"/>
      </w:pPr>
      <w:r>
        <w:rPr>
          <w:i/>
          <w:sz w:val="19"/>
        </w:rPr>
        <w:t>«3 — Salvo se houver manifesto inconveniente, o detentor dos bens ou seres vivos e documentos apreendidos ou, na sua falta, quem o represente no ato de apreensão, é constituído seu fiel depositário pela autoridade administrativa competente, com a obrigação de não utilizar os bens apreendidos sob pena da prática do crime de desobediência.»</w:t>
      </w:r>
    </w:p>
    <w:p>
      <w:pPr>
        <w:spacing w:after="160"/>
        <w:ind w:left="454"/>
      </w:pPr>
      <w:r>
        <w:rPr>
          <w:color w:val="555555"/>
          <w:sz w:val="17"/>
        </w:rPr>
        <w:t>n.º 3 do art.º 49.º do Regime Jurídico das Contraordenações Económicas, anexo ao Decreto-Lei n.º 9/2021, de 29 de janeiro</w:t>
      </w:r>
    </w:p>
    <w:p>
      <w:pPr>
        <w:spacing w:after="40"/>
        <w:ind w:left="454" w:right="227"/>
      </w:pPr>
      <w:r>
        <w:rPr>
          <w:i/>
          <w:sz w:val="19"/>
        </w:rPr>
        <w:t>«2 — Nos casos de risco de deterioração dos bens ou seres vivos, de conveniência da sua utilização imediata para abastecimento do mercado, de perigo para a saúde ou para o bem-estar de animais ou, em ambos os casos, de perigosidade, os bens apreendidos, logo que se tornem desnecessários, podem ser afetos a finalidade pública ou socialmente útil ou destruídos de forma imediata, por ordem da autoridade administrativa competente.»</w:t>
      </w:r>
    </w:p>
    <w:p>
      <w:pPr>
        <w:spacing w:after="160"/>
        <w:ind w:left="454"/>
      </w:pPr>
      <w:r>
        <w:rPr>
          <w:color w:val="555555"/>
          <w:sz w:val="17"/>
        </w:rPr>
        <w:t>n.º 2 do art.º 50.º do Regime Jurídico das Contraordenações Económicas, anexo ao Decreto-Lei n.º 9/2021, de 29 de janeiro</w:t>
      </w:r>
    </w:p>
    <w:p>
      <w:pPr>
        <w:spacing w:after="40"/>
        <w:ind w:left="454" w:right="227"/>
      </w:pPr>
      <w:r>
        <w:rPr>
          <w:i/>
          <w:sz w:val="19"/>
        </w:rPr>
        <w:t>«3 — O recurso não tem efeito suspensivo da medida cautelar impugnada nem do procedimento contraordenacional.»</w:t>
      </w:r>
    </w:p>
    <w:p>
      <w:pPr>
        <w:spacing w:after="160"/>
        <w:ind w:left="454"/>
      </w:pPr>
      <w:r>
        <w:rPr>
          <w:color w:val="555555"/>
          <w:sz w:val="17"/>
        </w:rPr>
        <w:t>n.º 3 do art.º 52.º do Regime Jurídico das Contraordenações Económicas, anexo ao Decreto-Lei n.º 9/2021, de 29 de janeiro</w:t>
      </w:r>
    </w:p>
    <w:p>
      <w:pPr>
        <w:keepNext/>
        <w:spacing w:before="160" w:after="60"/>
      </w:pPr>
      <w:r>
        <w:rPr>
          <w:b/>
          <w:sz w:val="21"/>
        </w:rPr>
        <w:t>V3 e V4. O DL 276/2001</w:t>
      </w:r>
    </w:p>
    <w:p>
      <w:pPr>
        <w:spacing w:after="40"/>
        <w:ind w:left="454" w:right="227"/>
      </w:pPr>
      <w:r>
        <w:rPr>
          <w:i/>
          <w:sz w:val="19"/>
        </w:rPr>
        <w:t>«8 - Em caso de forte suspeita ou evidência de sinais de uso de animais em lutas ou quando esteja em causa a saúde e o bem-estar dos animais, a DGAV, com a intervenção das câmaras municipais, se necessário, e as autoridades mencionadas no número anterior devem proceder à recolha ou captura dos mesmos, podendo para o efeito solicitar a emissão de mandato judicial que lhes permita aceder aos locais onde estes se encontrem, designadamente estabelecimentos, casas de habitação e terrenos privados.</w:t>
      </w:r>
    </w:p>
    <w:p>
      <w:pPr>
        <w:spacing w:after="40"/>
        <w:ind w:left="454" w:right="227"/>
      </w:pPr>
      <w:r>
        <w:rPr>
          <w:i/>
          <w:sz w:val="19"/>
        </w:rPr>
        <w:t>9 - Os animais recolhidos nos termos do número anterior são alojados em centros de recolha oficial, devendo o médico veterinário municipal comunicar o facto à DGAV, que decide o destino dos mesmos, designadamente o seu abate, sem direito a indemnização.</w:t>
      </w:r>
    </w:p>
    <w:p>
      <w:pPr>
        <w:spacing w:after="40"/>
        <w:ind w:left="454" w:right="227"/>
      </w:pPr>
      <w:r>
        <w:rPr>
          <w:i/>
          <w:sz w:val="19"/>
        </w:rPr>
        <w:t>10 - A recolha, captura e abate compulsivo de cães e gatos é regulada por legislação própria.»</w:t>
      </w:r>
    </w:p>
    <w:p>
      <w:pPr>
        <w:spacing w:after="160"/>
        <w:ind w:left="454"/>
      </w:pPr>
      <w:r>
        <w:rPr>
          <w:color w:val="555555"/>
          <w:sz w:val="17"/>
        </w:rPr>
        <w:t>n.ºs 8 a 10 do art.º 19.º do Decreto-Lei n.º 276/2001, de 17 de outubro (versão consolidada)</w:t>
      </w:r>
    </w:p>
    <w:p>
      <w:pPr>
        <w:spacing w:after="120"/>
      </w:pPr>
      <w:r>
        <w:rPr>
          <w:b w:val="0"/>
          <w:i w:val="0"/>
          <w:sz w:val="21"/>
        </w:rPr>
        <w:t>Os n.ºs 8 e 10 entraram no diploma ao mesmo tempo, pelo DL n.º 315/2003, de 17 de dezembro, publicado no mesmo dia que o DL n.º 314/2003 (a «legislação própria» dos cães e gatos).</w:t>
      </w:r>
    </w:p>
    <w:p>
      <w:pPr>
        <w:spacing w:after="40"/>
        <w:ind w:left="454" w:right="227"/>
      </w:pPr>
      <w:r>
        <w:rPr>
          <w:i/>
          <w:sz w:val="19"/>
        </w:rPr>
        <w:t>«1 - O diretor-geral de Alimentação e Veterinária pode, mediante despacho, determinar a suspensão da atividade ou o encerramento do alojamento, designadamente quando se verifique uma das seguintes situações:</w:t>
      </w:r>
    </w:p>
    <w:p>
      <w:pPr>
        <w:spacing w:after="40"/>
        <w:ind w:left="454" w:right="227"/>
      </w:pPr>
      <w:r>
        <w:rPr>
          <w:i/>
          <w:sz w:val="19"/>
        </w:rPr>
        <w:t>a) Existência de riscos higiossanitários que ponham em causa a saúde das pessoas e ou dos animais;</w:t>
      </w:r>
    </w:p>
    <w:p>
      <w:pPr>
        <w:spacing w:after="40"/>
        <w:ind w:left="454" w:right="227"/>
      </w:pPr>
      <w:r>
        <w:rPr>
          <w:i/>
          <w:sz w:val="19"/>
        </w:rPr>
        <w:t>b) Maus tratos aos animais;</w:t>
      </w:r>
    </w:p>
    <w:p>
      <w:pPr>
        <w:spacing w:after="40"/>
        <w:ind w:left="454" w:right="227"/>
      </w:pPr>
      <w:r>
        <w:rPr>
          <w:i/>
          <w:sz w:val="19"/>
        </w:rPr>
        <w:t>c) Existência de graves problemas de saúde e bem-estar dos animais;</w:t>
      </w:r>
    </w:p>
    <w:p>
      <w:pPr>
        <w:spacing w:after="40"/>
        <w:ind w:left="454" w:right="227"/>
      </w:pPr>
      <w:r>
        <w:rPr>
          <w:i/>
          <w:sz w:val="19"/>
        </w:rPr>
        <w:t>d) Falta de condições de segurança e de tranquilidade para as pessoas ou animais, bem como de proteção do meio ambiente.»</w:t>
      </w:r>
    </w:p>
    <w:p>
      <w:pPr>
        <w:spacing w:after="160"/>
        <w:ind w:left="454"/>
      </w:pPr>
      <w:r>
        <w:rPr>
          <w:color w:val="555555"/>
          <w:sz w:val="17"/>
        </w:rPr>
        <w:t>n.º 1 do art.º 3.º-G do Decreto-Lei n.º 276/2001, de 17 de outubro (versão consolidada)</w:t>
      </w:r>
    </w:p>
    <w:p>
      <w:pPr>
        <w:spacing w:after="40"/>
        <w:ind w:left="454" w:right="227"/>
      </w:pPr>
      <w:r>
        <w:rPr>
          <w:i/>
          <w:sz w:val="19"/>
        </w:rPr>
        <w:t>«6 - Compete às câmaras municipais executar as medidas necessárias ao cumprimento da decisão a que se referem os n.os 3 e 4, nomeadamente proceder, quando necessário, à recolha dos animais.»</w:t>
      </w:r>
    </w:p>
    <w:p>
      <w:pPr>
        <w:spacing w:after="160"/>
        <w:ind w:left="454"/>
      </w:pPr>
      <w:r>
        <w:rPr>
          <w:color w:val="555555"/>
          <w:sz w:val="17"/>
        </w:rPr>
        <w:t>n.º 6 do art.º 3.º-G do Decreto-Lei n.º 276/2001, de 17 de outubro (versão consolidada)</w:t>
      </w:r>
    </w:p>
    <w:p>
      <w:pPr>
        <w:keepNext/>
        <w:spacing w:before="160" w:after="60"/>
      </w:pPr>
      <w:r>
        <w:rPr>
          <w:b/>
          <w:sz w:val="21"/>
        </w:rPr>
        <w:t>V6. O regime do CRO, que se aplica a quem lá entra</w:t>
      </w:r>
    </w:p>
    <w:p>
      <w:pPr>
        <w:spacing w:after="40"/>
        <w:ind w:left="454" w:right="227"/>
      </w:pPr>
      <w:r>
        <w:rPr>
          <w:i/>
          <w:sz w:val="19"/>
        </w:rPr>
        <w:t>«1 — Os animais acolhidos pelos centros de recolha oficial de animais que não sejam reclamados pelos seus detentores no prazo de 15 dias, a contar da data da sua recolha, presumem-se abandonados e são obrigatoriamente esterilizados e encaminhados para adoção, sem direito a indemnização dos detentores que venham a identificar-se como tal após o prazo previsto.»</w:t>
      </w:r>
    </w:p>
    <w:p>
      <w:pPr>
        <w:spacing w:after="160"/>
        <w:ind w:left="454"/>
      </w:pPr>
      <w:r>
        <w:rPr>
          <w:color w:val="555555"/>
          <w:sz w:val="17"/>
        </w:rPr>
        <w:t>n.º 1 do art.º 3.º da Lei n.º 27/2016, de 23 de agosto</w:t>
      </w:r>
    </w:p>
    <w:p>
      <w:pPr>
        <w:spacing w:after="40"/>
        <w:ind w:left="454" w:right="227"/>
      </w:pPr>
      <w:r>
        <w:rPr>
          <w:i/>
          <w:sz w:val="19"/>
        </w:rPr>
        <w:t>«6 — A eutanásia pode ser realizada em centros de recolha oficial de animais ou centros de atendimento médico veterinário, por médico veterinário, em casos comprovados de doença manifestamente incurável e quando se demonstre ser a via única e indispensável para eliminar a dor e o sofrimento irrecuperável do animal.»</w:t>
      </w:r>
    </w:p>
    <w:p>
      <w:pPr>
        <w:spacing w:after="160"/>
        <w:ind w:left="454"/>
      </w:pPr>
      <w:r>
        <w:rPr>
          <w:color w:val="555555"/>
          <w:sz w:val="17"/>
        </w:rPr>
        <w:t>n.º 6 do art.º 3.º da Lei n.º 27/2016, de 23 de agosto</w:t>
      </w:r>
    </w:p>
    <w:p>
      <w:pPr>
        <w:spacing w:after="40"/>
        <w:ind w:left="454" w:right="227"/>
      </w:pPr>
      <w:r>
        <w:rPr>
          <w:i/>
          <w:sz w:val="19"/>
        </w:rPr>
        <w:t>«5 - Os animais que sejam recolhidos num Centro de Recolha Oficial (CRO) e que não sejam reclamados pelos seus proprietários devem ser registados no SIAC em nome do titular desse CRO, após o período de 15 dias previsto no n.º 4 do artigo 8.º da Portaria n.º 146/2017, de 26 de abril.»</w:t>
      </w:r>
    </w:p>
    <w:p>
      <w:pPr>
        <w:spacing w:after="160"/>
        <w:ind w:left="454"/>
      </w:pPr>
      <w:r>
        <w:rPr>
          <w:color w:val="555555"/>
          <w:sz w:val="17"/>
        </w:rPr>
        <w:t>n.º 5 do art.º 11.º do Decreto-Lei n.º 82/2019, de 27 de junho</w:t>
      </w:r>
    </w:p>
    <w:p>
      <w:pPr>
        <w:keepNext/>
        <w:spacing w:before="240" w:after="80"/>
      </w:pPr>
      <w:r>
        <w:rPr>
          <w:b/>
          <w:color w:val="1F3B63"/>
          <w:sz w:val="23"/>
        </w:rPr>
        <w:t>4.3 O que a proposta resolve bem</w:t>
      </w:r>
    </w:p>
    <w:p>
      <w:pPr>
        <w:spacing w:after="120"/>
      </w:pPr>
      <w:r>
        <w:rPr>
          <w:b/>
          <w:color w:val="1F3B63"/>
        </w:rPr>
        <w:t xml:space="preserve">Apreciação. </w:t>
      </w:r>
      <w:r>
        <w:t>Os pontos seguintes devem ser mantidos. Respondem a falhas reais e dão à DGAV rastreabilidade e defesa, perante tribunais e perante a opinião pública.</w:t>
      </w:r>
    </w:p>
    <w:p>
      <w:pPr>
        <w:pStyle w:val="ListBullet"/>
        <w:spacing w:after="60"/>
        <w:jc w:val="both"/>
      </w:pPr>
      <w:r>
        <w:rPr>
          <w:sz w:val="21"/>
        </w:rPr>
        <w:t>Planeamento escrito antes da operação, com destino previsto e capacidade confirmada (3.1, 3.2 e Anexo I, modelo A). A regra de que a urgência comprime o planeamento mas não o dispensa (3.1) é a formulação certa.</w:t>
      </w:r>
    </w:p>
    <w:p>
      <w:pPr>
        <w:pStyle w:val="ListBullet"/>
        <w:spacing w:after="60"/>
        <w:jc w:val="both"/>
      </w:pPr>
      <w:r>
        <w:rPr>
          <w:sz w:val="21"/>
        </w:rPr>
        <w:t>Declaração escrita de base legal, responsável da operação e responsável clínico (4.1 e modelo B). Fixa a autoria dos atos e evita que a operação seja atribuída, na comunicação pública, a quem só colaborou.</w:t>
      </w:r>
    </w:p>
    <w:p>
      <w:pPr>
        <w:pStyle w:val="ListBullet"/>
        <w:spacing w:after="60"/>
        <w:jc w:val="both"/>
      </w:pPr>
      <w:r>
        <w:rPr>
          <w:sz w:val="21"/>
        </w:rPr>
        <w:t>Observação individual de cada animal antes da saída e faseamento obrigatório acima de 50 animais, com posto de triagem (5.2.2 e 5.2.4). Serve o bem-estar e serve a prova: é a descrição do estado dos animais a que se refere o art.º 171.º do CPP.</w:t>
      </w:r>
    </w:p>
    <w:p>
      <w:pPr>
        <w:pStyle w:val="ListBullet"/>
        <w:spacing w:after="60"/>
        <w:jc w:val="both"/>
      </w:pPr>
      <w:r>
        <w:rPr>
          <w:sz w:val="21"/>
        </w:rPr>
        <w:t>Ficha individual por animal (6.4 e modelo C) e colheita de amostras com cadeia de custódia (6.9).</w:t>
      </w:r>
    </w:p>
    <w:p>
      <w:pPr>
        <w:pStyle w:val="ListBullet"/>
        <w:spacing w:after="60"/>
        <w:jc w:val="both"/>
      </w:pPr>
      <w:r>
        <w:rPr>
          <w:sz w:val="21"/>
        </w:rPr>
        <w:t>Auto de entrega com identificação dos animais, da qualidade em que a entidade os recebe e de quem paga (7.4 e modelo E); proibição de cedência ou adoção antes de decisão escrita (7.6); inventário único, encerrado em 15 dias (7.8); relatório em 30 dias (10.1).</w:t>
      </w:r>
    </w:p>
    <w:p>
      <w:pPr>
        <w:pStyle w:val="ListBullet"/>
        <w:spacing w:after="60"/>
        <w:jc w:val="both"/>
      </w:pPr>
      <w:r>
        <w:rPr>
          <w:sz w:val="21"/>
        </w:rPr>
        <w:t>Proteção de dados e presunção de inocência na comunicação (8.6) e reconhecimento público de quem colabora (8.7).</w:t>
      </w:r>
    </w:p>
    <w:p>
      <w:pPr>
        <w:keepNext/>
        <w:spacing w:before="240" w:after="80"/>
      </w:pPr>
      <w:r>
        <w:rPr>
          <w:b/>
          <w:color w:val="1F3B63"/>
          <w:sz w:val="23"/>
        </w:rPr>
        <w:t>4.4 O que a proposta não resolve ou resolve mal</w:t>
      </w:r>
    </w:p>
    <w:p>
      <w:pPr>
        <w:keepNext/>
        <w:spacing w:before="160" w:after="60"/>
      </w:pPr>
      <w:r>
        <w:rPr>
          <w:b/>
          <w:sz w:val="21"/>
        </w:rPr>
        <w:t>a) Quem comanda depende da via legal, não da presença da DGAV</w:t>
      </w:r>
    </w:p>
    <w:p>
      <w:pPr>
        <w:spacing w:after="120"/>
      </w:pPr>
      <w:r>
        <w:rPr>
          <w:b w:val="0"/>
          <w:i w:val="0"/>
          <w:sz w:val="21"/>
        </w:rPr>
        <w:t>Descrição: o ponto 1.2 aplica o procedimento a «todas as operações em que participem serviços da DGAV» e o ponto 4.2 põe a direção na DGAV ou na DSAVR. O ponto 1.4 reconhece a direção do Ministério Público no processo penal, mas só como aplicação subsidiária. O ponto 4.6 manda identificar o «fundamento prevalecente».</w:t>
      </w:r>
    </w:p>
    <w:p>
      <w:pPr>
        <w:spacing w:after="120"/>
      </w:pPr>
      <w:r>
        <w:rPr>
          <w:b/>
          <w:color w:val="1F3B63"/>
        </w:rPr>
        <w:t xml:space="preserve">Apreciação. </w:t>
      </w:r>
      <w:r>
        <w:t>Nos casos de maus-tratos a animais de companhia, a via penal é a regra e não a exceção. Nela, a DGAV é executante (art.º 1.º-A da Lei n.º 92/95) e pode ser perita (art.º 159.º-A do CPP), mas não dirige. Na via do DL 314/2003 quem decide é a câmara. Fazer da DGAV a entidade que «responde» por todas as operações em que participa expõe-a a responsabilidade por atos que a lei atribui a outros. A regra do fundamento prevalecente (4.6) é a solução certa e deve passar a ser o eixo do texto: quem tem o título legal da operação coordena; a DGAV assegura sempre a direção técnico-veterinária e o registo.</w:t>
      </w:r>
    </w:p>
    <w:p>
      <w:pPr>
        <w:keepNext/>
        <w:spacing w:before="160" w:after="60"/>
      </w:pPr>
      <w:r>
        <w:rPr>
          <w:b/>
          <w:sz w:val="21"/>
        </w:rPr>
        <w:t>b) Falta o equivalente, para animais de companhia, do sequestro sanitário</w:t>
      </w:r>
    </w:p>
    <w:p>
      <w:pPr>
        <w:spacing w:after="120"/>
      </w:pPr>
      <w:r>
        <w:rPr>
          <w:b w:val="0"/>
          <w:i w:val="0"/>
          <w:sz w:val="21"/>
        </w:rPr>
        <w:t>Descrição: para espécies pecuárias, a proposta prevê a permanência no local sob sequestro (7.2 e modelo D). Para animais de companhia, a única saída prevista é o CRO (7.1) ou a entidade depositária (7.4).</w:t>
      </w:r>
    </w:p>
    <w:p>
      <w:pPr>
        <w:spacing w:after="120"/>
      </w:pPr>
      <w:r>
        <w:rPr>
          <w:b/>
          <w:color w:val="1F3B63"/>
        </w:rPr>
        <w:t xml:space="preserve">Apreciação. </w:t>
      </w:r>
      <w:r>
        <w:t>Quando a operação é faseada (5.2.2) ou o CRO não tem lugar, os animais que ficam no local precisam de um título jurídico que os mantenha sob controlo da autoridade. Esse título existe: a apreensão com o detentor como fiel depositário e a imposição de medidas de correção (als. d) e e) do n.º 1 do art.º 48.º e n.º 3 do art.º 49.º do RJCE), ou a apreensão penal com depositário idóneo. Falta um modelo de «auto de apreensão com permanência no local», com deveres de alimentação, água, cuidados e visitas de verificação.</w:t>
      </w:r>
    </w:p>
    <w:p>
      <w:pPr>
        <w:keepNext/>
        <w:spacing w:before="160" w:after="60"/>
      </w:pPr>
      <w:r>
        <w:rPr>
          <w:b/>
          <w:sz w:val="21"/>
        </w:rPr>
        <w:t>c) Falta a cedência voluntária</w:t>
      </w:r>
    </w:p>
    <w:p>
      <w:pPr>
        <w:spacing w:after="120"/>
      </w:pPr>
      <w:r>
        <w:rPr>
          <w:b/>
          <w:color w:val="1F3B63"/>
        </w:rPr>
        <w:t xml:space="preserve">Apreciação. </w:t>
      </w:r>
      <w:r>
        <w:t>Em muitas operações o detentor aceita ceder os animais. Uma declaração de cedência, assinada no ato e registada no SIAC, transfere a titularidade sem processo e encurta a custódia de anos para dias. A proposta não a prevê. Recomenda-se um modelo G, «termo de cedência voluntária», com advertência de que a cedência não extingue a responsabilidade contraordenacional ou criminal e, no processo penal, com comunicação ao Ministério Público antes de qualquer destino.</w:t>
      </w:r>
    </w:p>
    <w:p>
      <w:pPr>
        <w:keepNext/>
        <w:spacing w:before="160" w:after="60"/>
      </w:pPr>
      <w:r>
        <w:rPr>
          <w:b/>
          <w:sz w:val="21"/>
        </w:rPr>
        <w:t>d) Quem decide o destino: a proposta não identifica a «entidade competente»</w:t>
      </w:r>
    </w:p>
    <w:p>
      <w:pPr>
        <w:spacing w:after="120"/>
      </w:pPr>
      <w:r>
        <w:rPr>
          <w:b w:val="0"/>
          <w:i w:val="0"/>
          <w:sz w:val="21"/>
        </w:rPr>
        <w:t>Descrição: o ponto 7.6 proíbe a cedência «antes de decisão expressa da entidade competente». O ponto 7.5 reserva a decisão à «autoridade veterinária».</w:t>
      </w:r>
    </w:p>
    <w:p>
      <w:pPr>
        <w:spacing w:after="120"/>
      </w:pPr>
      <w:r>
        <w:rPr>
          <w:b/>
          <w:color w:val="1F3B63"/>
        </w:rPr>
        <w:t xml:space="preserve">Apreciação. </w:t>
      </w:r>
      <w:r>
        <w:t>O quadro 4.2 mostra que a entidade competente muda com a via: autoridade judiciária (V1), autoridade administrativa do processo de contraordenação (V2), DGAV (V3), e nada (V4). A proposta deve ter uma matriz de destino por via. Dois pontos práticos merecem destaque. Primeiro, no processo penal, quando o animal deixa de ser necessário à prova é entregue «a quem tenha sido nomeado seu fiel depositário» (n.º 1 do art.º 186.º do CPP): a escolha do depositário define, na prática, quem fica com o animal. Segundo, na via contraordenacional, o destino antecipado por «perigo para a saúde ou para o bem-estar de animais» (n.º 2 do art.º 50.º do RJCE) permite afetar os animais a finalidade socialmente útil antes da decisão final. Nenhum destes instrumentos é usado na proposta.</w:t>
      </w:r>
    </w:p>
    <w:p>
      <w:pPr>
        <w:keepNext/>
        <w:spacing w:before="160" w:after="60"/>
      </w:pPr>
      <w:r>
        <w:rPr>
          <w:b/>
          <w:sz w:val="21"/>
        </w:rPr>
        <w:t>e) A presunção de abandono de 15 dias e o registo em nome do CRO</w:t>
      </w:r>
    </w:p>
    <w:p>
      <w:pPr>
        <w:spacing w:after="120"/>
      </w:pPr>
      <w:r>
        <w:rPr>
          <w:b/>
          <w:color w:val="1F3B63"/>
        </w:rPr>
        <w:t xml:space="preserve">Apreciação. </w:t>
      </w:r>
      <w:r>
        <w:t>Animais retirados ao abrigo do n.º 8 do art.º 19.º do DL 276/2001 entram em CRO (n.º 9). A Lei n.º 27/2016 presume abandonados os animais «não reclamados» em 15 dias e manda encaminhá-los para adoção; o DL 82/2019 manda registá-los em nome do CRO. Lidas à letra, estas regras podem levar um município a dar para adoção um animal apreendido, cuja guarda decorre de decisão de autoridade e cujo destino cabe à DGAV ou ao tribunal. O risco existe nos dois sentidos: adoção indevida ou animais retidos sem decisão. A proposta não o trata. A DGAV pode emitir orientação interpretativa (estes animais não estão «não reclamados»; estão sob decisão de autoridade) e marcar o estado no SIAC (ver i)). A solução definitiva é legislativa.</w:t>
      </w:r>
    </w:p>
    <w:p>
      <w:pPr>
        <w:keepNext/>
        <w:spacing w:before="160" w:after="60"/>
      </w:pPr>
      <w:r>
        <w:rPr>
          <w:b/>
          <w:sz w:val="21"/>
        </w:rPr>
        <w:t>f) Eutanásia: critério e local</w:t>
      </w:r>
    </w:p>
    <w:p>
      <w:pPr>
        <w:spacing w:after="120"/>
      </w:pPr>
      <w:r>
        <w:rPr>
          <w:b w:val="0"/>
          <w:i w:val="0"/>
          <w:sz w:val="21"/>
        </w:rPr>
        <w:t>Descrição: o ponto 6.2 admite, na triagem, «eutanásia ou occisão». O ponto 6.8 exige indicação clínica fundamentada e prática por médico veterinário.</w:t>
      </w:r>
    </w:p>
    <w:p>
      <w:pPr>
        <w:spacing w:after="120"/>
      </w:pPr>
      <w:r>
        <w:rPr>
          <w:b/>
          <w:color w:val="1F3B63"/>
        </w:rPr>
        <w:t xml:space="preserve">Apreciação. </w:t>
      </w:r>
      <w:r>
        <w:t>Para animais de companhia, o critério legal é mais estreito: «doença manifestamente incurável» e ser «a via única e indispensável para eliminar a dor e o sofrimento irrecuperável», em CRO ou CAMV (n.º 6 do art.º 3.º da Lei n.º 27/2016). A eutanásia no local da operação só se justifica em estado de necessidade, e deve ser registada como tal. Quando há processo penal, o animal é prova: a decisão deve ser comunicada ao Ministério Público e acompanhada de exame ou necropsia (art.º 159.º-A do CPP). O texto deve separar a eutanásia de animais de companhia da occisão de animais de produção.</w:t>
      </w:r>
    </w:p>
    <w:p>
      <w:pPr>
        <w:keepNext/>
        <w:spacing w:before="160" w:after="60"/>
      </w:pPr>
      <w:r>
        <w:rPr>
          <w:b/>
          <w:sz w:val="21"/>
        </w:rPr>
        <w:t>g) Credenciação, lista e exclusão de entidades</w:t>
      </w:r>
    </w:p>
    <w:p>
      <w:pPr>
        <w:spacing w:after="120"/>
      </w:pPr>
      <w:r>
        <w:rPr>
          <w:b w:val="0"/>
          <w:i w:val="0"/>
          <w:sz w:val="21"/>
        </w:rPr>
        <w:t>Descrição: só participam entidades «credenciadas» (princípio 6 e ponto 9), com requisitos comuns (alojamento registado, médico veterinário responsável, seguro, formação, termo de compromisso). A DGAV mantém e publicita a lista (9.3) e pode suspender entidades, com audiência prévia (9.5). O incumprimento das regras de comunicação determina a exclusão (8.8).</w:t>
      </w:r>
    </w:p>
    <w:p>
      <w:pPr>
        <w:spacing w:after="120"/>
      </w:pPr>
      <w:r>
        <w:rPr>
          <w:b/>
          <w:color w:val="1F3B63"/>
        </w:rPr>
        <w:t xml:space="preserve">Apreciação. </w:t>
      </w:r>
      <w:r>
        <w:t>O objetivo é bom. O instrumento tem um problema de legalidade: criar por despacho uma lista com efeitos externos e sanções para particulares, sem norma habilitante. Há duas alternativas mais seguras. A primeira, uma bolsa de entidades colaboradoras por protocolo, com adesão voluntária e com a única consequência do incumprimento a ser a não convocação. A segunda, apoiar a lista em títulos que já existem: a mera comunicação prévia do alojamento (al. a) do n.º 1 do art.º 3.º e art.º 3.º-A do DL 276/2001) e o médico veterinário responsável (n.º 1 do art.º 4.º), que já são obrigatórios. Duas notas: no processo penal o depositário é escolhido pela autoridade judiciária, pelo que a lista só pode ser indicativa; e a partir de 31.8.2028 quem detenha animais confiscados para os colocar no mercado será um «abrigo» na aceção do Regulamento (UE) 2026/1818, sujeito ao registo e às obrigações desse regulamento (ver 6.2).</w:t>
      </w:r>
    </w:p>
    <w:p>
      <w:pPr>
        <w:keepNext/>
        <w:spacing w:before="160" w:after="60"/>
      </w:pPr>
      <w:r>
        <w:rPr>
          <w:b/>
          <w:sz w:val="21"/>
        </w:rPr>
        <w:t>h) Comunicação pública</w:t>
      </w:r>
    </w:p>
    <w:p>
      <w:pPr>
        <w:spacing w:after="120"/>
      </w:pPr>
      <w:r>
        <w:rPr>
          <w:b w:val="0"/>
          <w:i w:val="0"/>
          <w:sz w:val="21"/>
        </w:rPr>
        <w:t>Descrição: porta-voz único da entidade coordenadora (8.1); dever de reserva das entidades participantes (8.2); proibição de divulgar imagens e dados (8.3); proibição de angariar fundos com imagens de animais retirados sem autorização (8.4); cessação imediata de transmissões em direto e de conteúdos para redes sociais (8.5). O resumo dos princípios fala em dissuadir «de forma contundente» a espetacularização.</w:t>
      </w:r>
    </w:p>
    <w:p>
      <w:pPr>
        <w:spacing w:after="120"/>
      </w:pPr>
      <w:r>
        <w:rPr>
          <w:b/>
          <w:color w:val="1F3B63"/>
        </w:rPr>
        <w:t xml:space="preserve">Apreciação. </w:t>
      </w:r>
      <w:r>
        <w:t>As finalidades são legítimas: proteger a investigação, os dados pessoais, a presunção de inocência e a credibilidade das operações. A DGAV conhece o custo da exposição mediática desorganizada. Mas a administração não pode, por despacho, restringir a expressão de terceiros. Estas regras só valem como cláusulas do termo de compromisso, aceites por quem quer participar, e, no processo penal, pelas regras do próprio processo. As associações zoófilas podem ser assistentes (n.º 1 do art.º 10.º da Lei n.º 92/95) e requerer medidas urgentes (art.º 9.º): o procedimento não pode tratar como infração o exercício destes direitos. A linguagem («contundente», «não são eventos mediáticos») deve ser retirada de um texto normativo. Do lado da DGAV, falta o dever positivo: informar, no fim, o que foi feito e com que resultado (8.7 vai nesse sentido e deve ser reforçado).</w:t>
      </w:r>
    </w:p>
    <w:p>
      <w:pPr>
        <w:keepNext/>
        <w:spacing w:before="160" w:after="60"/>
      </w:pPr>
      <w:r>
        <w:rPr>
          <w:b/>
          <w:sz w:val="21"/>
        </w:rPr>
        <w:t>i) SIAC: o que a DGAV pode fazer sem mudar a lei</w:t>
      </w:r>
    </w:p>
    <w:p>
      <w:pPr>
        <w:spacing w:after="120"/>
      </w:pPr>
      <w:r>
        <w:rPr>
          <w:b w:val="0"/>
          <w:i w:val="0"/>
          <w:sz w:val="21"/>
        </w:rPr>
        <w:t>Descrição: o ponto 6.3 exige identificação eletrónica e registo no SIAC antes do alojamento definitivo.</w:t>
      </w:r>
    </w:p>
    <w:p>
      <w:pPr>
        <w:spacing w:after="40"/>
        <w:ind w:left="454" w:right="227"/>
      </w:pPr>
      <w:r>
        <w:rPr>
          <w:i/>
          <w:sz w:val="19"/>
        </w:rPr>
        <w:t>«4 - As normas e procedimentos relativos ao funcionamento do SIAC, bem como a gestão das entidades com acesso e respetivos perfis de acesso, são aprovados pelo diretor-geral de Alimentação e Veterinária e devem constar de um Manual de Procedimentos SIAC.</w:t>
      </w:r>
    </w:p>
    <w:p>
      <w:pPr>
        <w:spacing w:after="40"/>
        <w:ind w:left="454" w:right="227"/>
      </w:pPr>
      <w:r>
        <w:rPr>
          <w:i/>
          <w:sz w:val="19"/>
        </w:rPr>
        <w:t>5 - O diretor-geral de Alimentação e Veterinária pode determinar, por decisão fundamentada, a suspensão provisória e cautelar do acesso ao SIAC a uma entidade, médico veterinário, ou titular de animais de companhia, sempre que sejam identificados incumprimentos graves das normas previstas no Manual de Procedimentos SIAC, até à decisão que aplique a pertinente contraordenação, designadamente as previstas no artigo 21.º do presente decreto-lei.»</w:t>
      </w:r>
    </w:p>
    <w:p>
      <w:pPr>
        <w:spacing w:after="160"/>
        <w:ind w:left="454"/>
      </w:pPr>
      <w:r>
        <w:rPr>
          <w:color w:val="555555"/>
          <w:sz w:val="17"/>
        </w:rPr>
        <w:t>n.ºs 4 e 5 do art.º 8.º do Decreto-Lei n.º 82/2019, de 27 de junho</w:t>
      </w:r>
    </w:p>
    <w:p>
      <w:pPr>
        <w:spacing w:after="120"/>
      </w:pPr>
      <w:r>
        <w:rPr>
          <w:b/>
          <w:color w:val="1F3B63"/>
        </w:rPr>
        <w:t xml:space="preserve">Apreciação. </w:t>
      </w:r>
      <w:r>
        <w:t>O registo, por si, não diz que o animal está apreendido. Pelo Manual de Procedimentos SIAC, a DGAV pode criar um estado «sob apreensão ou custódia», com indicação do processo e do local, que impeça transferências de titularidade e o registo automático em nome do CRO. Pode ainda suspender cautelarmente o acesso do detentor ao SIAC quando houver incumprimento grave. São das medidas com melhor relação custo-efeito ao alcance da DGAV.</w:t>
      </w:r>
    </w:p>
    <w:p>
      <w:pPr>
        <w:keepNext/>
        <w:spacing w:before="160" w:after="60"/>
      </w:pPr>
      <w:r>
        <w:rPr>
          <w:b/>
          <w:sz w:val="21"/>
        </w:rPr>
        <w:t>j) Acumulação de animais e detentores vulneráveis</w:t>
      </w:r>
    </w:p>
    <w:p>
      <w:pPr>
        <w:spacing w:after="120"/>
      </w:pPr>
      <w:r>
        <w:rPr>
          <w:b w:val="0"/>
          <w:i w:val="0"/>
          <w:sz w:val="21"/>
        </w:rPr>
        <w:t>Descrição: a proposta não menciona a acumulação patológica nem a articulação com saúde e ação social. A autoridade de saúde, que o DL 314/2003 põe na vistoria conjunta, não aparece no texto.</w:t>
      </w:r>
    </w:p>
    <w:p>
      <w:pPr>
        <w:spacing w:after="40"/>
        <w:ind w:left="454" w:right="227"/>
      </w:pPr>
      <w:r>
        <w:rPr>
          <w:i/>
          <w:sz w:val="19"/>
        </w:rPr>
        <w:t>«h) A promoção da elaboração e publicação, durante o ano de 2021, pelo ICNF, I. P., em articulação com o provedor do animal, e ouvida a autoridade sanitária veterinária nacional no âmbito das suas competências, de um guia de procedimentos que auxilie as autoridades públicas na abordagem aos fenómenos de acumulação de animais ou Síndrome de Noé, considerando as dimensões da justiça, dos municípios, da ação social, da saúde e do ambiente e da ação climática.»</w:t>
      </w:r>
    </w:p>
    <w:p>
      <w:pPr>
        <w:spacing w:after="160"/>
        <w:ind w:left="454"/>
      </w:pPr>
      <w:r>
        <w:rPr>
          <w:color w:val="555555"/>
          <w:sz w:val="17"/>
        </w:rPr>
        <w:t>al. h) da Resolução do Conselho de Ministros n.º 78/2021, de 25 de junho (Programa Nacional para os Animais de Companhia)</w:t>
      </w:r>
    </w:p>
    <w:p>
      <w:pPr>
        <w:spacing w:after="120"/>
      </w:pPr>
      <w:r>
        <w:rPr>
          <w:b/>
          <w:color w:val="1F3B63"/>
        </w:rPr>
        <w:t xml:space="preserve">Apreciação. </w:t>
      </w:r>
      <w:r>
        <w:t>Na situação c) de 4.1, retirar os animais sem tratar a pessoa produz reincidência. O módulo A deve prever, nesses casos, a participação da autoridade de saúde e dos serviços de ação social, a avaliação da pessoa e o acompanhamento depois da operação, com a esterilização dos animais que fiquem.</w:t>
      </w:r>
    </w:p>
    <w:p>
      <w:pPr>
        <w:keepNext/>
        <w:spacing w:before="160" w:after="60"/>
      </w:pPr>
      <w:r>
        <w:rPr>
          <w:b/>
          <w:sz w:val="21"/>
        </w:rPr>
        <w:t>k) Encargos</w:t>
      </w:r>
    </w:p>
    <w:p>
      <w:pPr>
        <w:spacing w:after="120"/>
      </w:pPr>
      <w:r>
        <w:rPr>
          <w:b w:val="0"/>
          <w:i w:val="0"/>
          <w:sz w:val="21"/>
        </w:rPr>
        <w:t>Descrição: os encargos são «imputados à entidade responsável» (7.7), sem dizer qual. A nota ao ponto 7.8 afirma que a custódia não pode depender de angariação de fundos junto do público.</w:t>
      </w:r>
    </w:p>
    <w:p>
      <w:pPr>
        <w:spacing w:after="120"/>
      </w:pPr>
      <w:r>
        <w:rPr>
          <w:b/>
          <w:color w:val="1F3B63"/>
        </w:rPr>
        <w:t xml:space="preserve">Apreciação. </w:t>
      </w:r>
      <w:r>
        <w:t>A lei vigente não tem uma regra de financiamento antecipado da custódia. O n.º 3 do art.º 19.º do DL 276/2001 só faz pagar as despesas quando o animal é restituído, e refere-se aos animais do n.º 1. No processo penal, a custódia pode durar anos. Na prática, o encargo cai no município que tem o CRO ou na associação depositária. A proposta identifica bem o problema e não o resolve, nem pode. O procedimento pode, no máximo, exigir que o auto de entrega diga quem adianta e quem reembolsa, e que a DGAV registe os custos de cada operação para fundamentar uma solução legislativa e financeira.</w:t>
      </w:r>
    </w:p>
    <w:p>
      <w:pPr>
        <w:keepNext/>
        <w:spacing w:before="160" w:after="60"/>
      </w:pPr>
      <w:r>
        <w:rPr>
          <w:b/>
          <w:sz w:val="21"/>
        </w:rPr>
        <w:t>l) O peso que a proposta põe na DGAV</w:t>
      </w:r>
    </w:p>
    <w:p>
      <w:pPr>
        <w:spacing w:after="120"/>
      </w:pPr>
      <w:r>
        <w:rPr>
          <w:b/>
          <w:color w:val="1F3B63"/>
        </w:rPr>
        <w:t xml:space="preserve">Apreciação. </w:t>
      </w:r>
      <w:r>
        <w:t>A proposta atribui à DGAV: planos de contingência-tipo para cinco cenários (3.3); simulacros anuais em cada região (3.4); inventário permanente da capacidade mobilizável (3.5); lista anual de entidades (9.3); suspensões com audiência prévia (9.5); inventário de cada operação em 15 dias (7.8); relatório em 30 dias (10.1); reunião anual de avaliação (10.4). Nenhum destes deveres vem com meios. Recomenda-se proporcionalidade: deveres completos acima de um limiar (por exemplo, mais de 50 animais ou mais de duas entidades), modelos simplificados abaixo dele, e inventário de capacidade alimentado pelos relatórios anuais dos CRO previstos nos n.ºs 9 e 10 do art.º 3.º da Lei n.º 27/2016, que já existem.</w:t>
      </w:r>
    </w:p>
    <w:p>
      <w:pPr>
        <w:keepNext/>
        <w:spacing w:before="160" w:after="60"/>
      </w:pPr>
      <w:r>
        <w:rPr>
          <w:b/>
          <w:sz w:val="21"/>
        </w:rPr>
        <w:t>m) Rigidez que pode virar argumento de defesa</w:t>
      </w:r>
    </w:p>
    <w:p>
      <w:pPr>
        <w:spacing w:after="120"/>
      </w:pPr>
      <w:r>
        <w:rPr>
          <w:b/>
          <w:color w:val="1F3B63"/>
        </w:rPr>
        <w:t xml:space="preserve">Apreciação. </w:t>
      </w:r>
      <w:r>
        <w:t>A regra «nenhuma operação se inicia sem» documento escrito (4.1) e o prazo de 48 horas (5.1.2) protegem a operação planeada. Numa situação de flagrante, os OPC atuam ao abrigo do CPP sem esperar. O texto deve dizer expressamente que é uma norma de organização interna e que a sua inobservância não afeta a validade dos atos praticados ao abrigo da lei. Sem essa cláusula, a defesa de um arguido pode invocar o incumprimento do procedimento.</w:t>
      </w:r>
    </w:p>
    <w:p>
      <w:pPr>
        <w:keepNext/>
        <w:spacing w:before="160" w:after="60"/>
      </w:pPr>
      <w:r>
        <w:rPr>
          <w:b/>
          <w:sz w:val="21"/>
        </w:rPr>
        <w:t>n) Um risco de interpretação no art.º 19.º do DL 276/2001</w:t>
      </w:r>
    </w:p>
    <w:p>
      <w:pPr>
        <w:spacing w:after="120"/>
      </w:pPr>
      <w:r>
        <w:rPr>
          <w:b/>
          <w:color w:val="1F3B63"/>
        </w:rPr>
        <w:t xml:space="preserve">Apreciação. </w:t>
      </w:r>
      <w:r>
        <w:t>O n.º 10 do art.º 19.º diz que a recolha e captura de cães e gatos «é regulada por legislação própria». Pode ser invocado para afastar o n.º 8 quando os animais são cães ou gatos, que são a grande maioria dos casos. A leitura mais sólida é outra: os dois números entraram juntos, pelo DL 315/2003, e o n.º 10 remete para o DL 314/2003 a recolha por razões de saúde pública (n.ºs 1 a 7), não a recolha por bem-estar do n.º 8. Ainda assim, a proposta fica mais segura se, para cães e gatos em maus-tratos, invocar em primeiro lugar o art.º 1.º-A da Lei n.º 92/95, que é específico e posterior, e o n.º 8 do art.º 19.º como base complementar.</w:t>
      </w:r>
    </w:p>
    <w:p>
      <w:pPr>
        <w:keepNext/>
        <w:spacing w:before="240" w:after="80"/>
      </w:pPr>
      <w:r>
        <w:rPr>
          <w:b/>
          <w:color w:val="1F3B63"/>
          <w:sz w:val="23"/>
        </w:rPr>
        <w:t>4.5 Necessidades face à legislação vigente (âmbito A)</w:t>
      </w:r>
    </w:p>
    <w:p>
      <w:pPr>
        <w:spacing w:after="120"/>
      </w:pPr>
      <w:r>
        <w:rPr>
          <w:b w:val="0"/>
          <w:i w:val="0"/>
          <w:sz w:val="21"/>
        </w:rPr>
        <w:t>O que um procedimento não consegue resolver e exige lei, em princípio no RGAC:</w:t>
      </w:r>
    </w:p>
    <w:tbl>
      <w:tblPr>
        <w:tblStyle w:val="TableGrid"/>
        <w:tblW w:type="auto" w:w="0"/>
        <w:jc w:val="center"/>
        <w:tblLook w:firstColumn="1" w:firstRow="1" w:lastColumn="0" w:lastRow="0" w:noHBand="0" w:noVBand="1" w:val="04A0"/>
      </w:tblPr>
      <w:tblGrid>
        <w:gridCol w:w="3135"/>
        <w:gridCol w:w="3135"/>
        <w:gridCol w:w="3135"/>
      </w:tblGrid>
      <w:tr>
        <w:tc>
          <w:tcPr>
            <w:tcW w:type="dxa" w:w="567"/>
          </w:tcPr>
          <w:p>
            <w:pPr>
              <w:spacing w:after="40"/>
            </w:pPr>
            <w:r/>
            <w:r>
              <w:rPr>
                <w:b/>
                <w:color w:val="1F3B63"/>
                <w:sz w:val="18"/>
              </w:rPr>
              <w:t>N.º</w:t>
            </w:r>
          </w:p>
        </w:tc>
        <w:tc>
          <w:tcPr>
            <w:tcW w:type="dxa" w:w="4535"/>
          </w:tcPr>
          <w:p>
            <w:pPr>
              <w:spacing w:after="40"/>
            </w:pPr>
            <w:r/>
            <w:r>
              <w:rPr>
                <w:b/>
                <w:color w:val="1F3B63"/>
                <w:sz w:val="18"/>
              </w:rPr>
              <w:t>Necessidade</w:t>
            </w:r>
          </w:p>
        </w:tc>
        <w:tc>
          <w:tcPr>
            <w:tcW w:type="dxa" w:w="3969"/>
          </w:tcPr>
          <w:p>
            <w:pPr>
              <w:spacing w:after="40"/>
            </w:pPr>
            <w:r/>
            <w:r>
              <w:rPr>
                <w:b/>
                <w:color w:val="1F3B63"/>
                <w:sz w:val="18"/>
              </w:rPr>
              <w:t>Porque não se resolve por procedimento</w:t>
            </w:r>
          </w:p>
        </w:tc>
      </w:tr>
      <w:tr>
        <w:tc>
          <w:tcPr>
            <w:tcW w:type="dxa" w:w="567"/>
          </w:tcPr>
          <w:p>
            <w:pPr>
              <w:spacing w:after="40"/>
              <w:jc w:val="left"/>
            </w:pPr>
            <w:r/>
            <w:r>
              <w:rPr>
                <w:sz w:val="17"/>
              </w:rPr>
              <w:t>A1</w:t>
            </w:r>
          </w:p>
        </w:tc>
        <w:tc>
          <w:tcPr>
            <w:tcW w:type="dxa" w:w="4535"/>
          </w:tcPr>
          <w:p>
            <w:pPr>
              <w:spacing w:after="40"/>
              <w:jc w:val="left"/>
            </w:pPr>
            <w:r/>
            <w:r>
              <w:rPr>
                <w:sz w:val="17"/>
              </w:rPr>
              <w:t>Regime único de retirada e custódia de animais de companhia: quem decide, onde ficam, por quanto tempo, quem paga, quando muda a titularidade.</w:t>
            </w:r>
          </w:p>
        </w:tc>
        <w:tc>
          <w:tcPr>
            <w:tcW w:type="dxa" w:w="3969"/>
          </w:tcPr>
          <w:p>
            <w:pPr>
              <w:spacing w:after="40"/>
              <w:jc w:val="left"/>
            </w:pPr>
            <w:r/>
            <w:r>
              <w:rPr>
                <w:sz w:val="17"/>
              </w:rPr>
              <w:t>Há seis vias com decisores diferentes (quadro 4.2). Só a lei pode ordená-las.</w:t>
            </w:r>
          </w:p>
        </w:tc>
      </w:tr>
      <w:tr>
        <w:tc>
          <w:tcPr>
            <w:tcW w:type="dxa" w:w="567"/>
          </w:tcPr>
          <w:p>
            <w:pPr>
              <w:spacing w:after="40"/>
              <w:jc w:val="left"/>
            </w:pPr>
            <w:r/>
            <w:r>
              <w:rPr>
                <w:sz w:val="17"/>
              </w:rPr>
              <w:t>A2</w:t>
            </w:r>
          </w:p>
        </w:tc>
        <w:tc>
          <w:tcPr>
            <w:tcW w:type="dxa" w:w="4535"/>
          </w:tcPr>
          <w:p>
            <w:pPr>
              <w:spacing w:after="40"/>
              <w:jc w:val="left"/>
            </w:pPr>
            <w:r/>
            <w:r>
              <w:rPr>
                <w:sz w:val="17"/>
              </w:rPr>
              <w:t>Exceção expressa à presunção de abandono de 15 dias e ao registo em nome do CRO para animais apreendidos ou retirados por decisão de autoridade.</w:t>
            </w:r>
          </w:p>
        </w:tc>
        <w:tc>
          <w:tcPr>
            <w:tcW w:type="dxa" w:w="3969"/>
          </w:tcPr>
          <w:p>
            <w:pPr>
              <w:spacing w:after="40"/>
              <w:jc w:val="left"/>
            </w:pPr>
            <w:r/>
            <w:r>
              <w:rPr>
                <w:sz w:val="17"/>
              </w:rPr>
              <w:t>A presunção está na Lei n.º 27/2016 e no DL 82/2019. Uma orientação reduz o risco, não o elimina.</w:t>
            </w:r>
          </w:p>
        </w:tc>
      </w:tr>
      <w:tr>
        <w:tc>
          <w:tcPr>
            <w:tcW w:type="dxa" w:w="567"/>
          </w:tcPr>
          <w:p>
            <w:pPr>
              <w:spacing w:after="40"/>
              <w:jc w:val="left"/>
            </w:pPr>
            <w:r/>
            <w:r>
              <w:rPr>
                <w:sz w:val="17"/>
              </w:rPr>
              <w:t>A3</w:t>
            </w:r>
          </w:p>
        </w:tc>
        <w:tc>
          <w:tcPr>
            <w:tcW w:type="dxa" w:w="4535"/>
          </w:tcPr>
          <w:p>
            <w:pPr>
              <w:spacing w:after="40"/>
              <w:jc w:val="left"/>
            </w:pPr>
            <w:r/>
            <w:r>
              <w:rPr>
                <w:sz w:val="17"/>
              </w:rPr>
              <w:t>Financiamento antecipado da custódia e recuperação dos custos junto do detentor.</w:t>
            </w:r>
          </w:p>
        </w:tc>
        <w:tc>
          <w:tcPr>
            <w:tcW w:type="dxa" w:w="3969"/>
          </w:tcPr>
          <w:p>
            <w:pPr>
              <w:spacing w:after="40"/>
              <w:jc w:val="left"/>
            </w:pPr>
            <w:r/>
            <w:r>
              <w:rPr>
                <w:sz w:val="17"/>
              </w:rPr>
              <w:t>Não há norma que imponha o adiantamento a ninguém.</w:t>
            </w:r>
          </w:p>
        </w:tc>
      </w:tr>
      <w:tr>
        <w:tc>
          <w:tcPr>
            <w:tcW w:type="dxa" w:w="567"/>
          </w:tcPr>
          <w:p>
            <w:pPr>
              <w:spacing w:after="40"/>
              <w:jc w:val="left"/>
            </w:pPr>
            <w:r/>
            <w:r>
              <w:rPr>
                <w:sz w:val="17"/>
              </w:rPr>
              <w:t>A4</w:t>
            </w:r>
          </w:p>
        </w:tc>
        <w:tc>
          <w:tcPr>
            <w:tcW w:type="dxa" w:w="4535"/>
          </w:tcPr>
          <w:p>
            <w:pPr>
              <w:spacing w:after="40"/>
              <w:jc w:val="left"/>
            </w:pPr>
            <w:r/>
            <w:r>
              <w:rPr>
                <w:sz w:val="17"/>
              </w:rPr>
              <w:t>Destino antecipado de animais apreendidos com base no bem-estar, também no processo penal.</w:t>
            </w:r>
          </w:p>
        </w:tc>
        <w:tc>
          <w:tcPr>
            <w:tcW w:type="dxa" w:w="3969"/>
          </w:tcPr>
          <w:p>
            <w:pPr>
              <w:spacing w:after="40"/>
              <w:jc w:val="left"/>
            </w:pPr>
            <w:r/>
            <w:r>
              <w:rPr>
                <w:sz w:val="17"/>
              </w:rPr>
              <w:t>O RJCE já o permite na via contraordenacional; no CPP depende da decisão da autoridade judiciária.</w:t>
            </w:r>
          </w:p>
        </w:tc>
      </w:tr>
      <w:tr>
        <w:tc>
          <w:tcPr>
            <w:tcW w:type="dxa" w:w="567"/>
          </w:tcPr>
          <w:p>
            <w:pPr>
              <w:spacing w:after="40"/>
              <w:jc w:val="left"/>
            </w:pPr>
            <w:r/>
            <w:r>
              <w:rPr>
                <w:sz w:val="17"/>
              </w:rPr>
              <w:t>A5</w:t>
            </w:r>
          </w:p>
        </w:tc>
        <w:tc>
          <w:tcPr>
            <w:tcW w:type="dxa" w:w="4535"/>
          </w:tcPr>
          <w:p>
            <w:pPr>
              <w:spacing w:after="40"/>
              <w:jc w:val="left"/>
            </w:pPr>
            <w:r/>
            <w:r>
              <w:rPr>
                <w:sz w:val="17"/>
              </w:rPr>
              <w:t>Atualização do n.º 9 do art.º 19.º do DL 276/2001 («designadamente o seu abate») e clarificação do n.º 10.</w:t>
            </w:r>
          </w:p>
        </w:tc>
        <w:tc>
          <w:tcPr>
            <w:tcW w:type="dxa" w:w="3969"/>
          </w:tcPr>
          <w:p>
            <w:pPr>
              <w:spacing w:after="40"/>
              <w:jc w:val="left"/>
            </w:pPr>
            <w:r/>
            <w:r>
              <w:rPr>
                <w:sz w:val="17"/>
              </w:rPr>
              <w:t>É texto de lei.</w:t>
            </w:r>
          </w:p>
        </w:tc>
      </w:tr>
      <w:tr>
        <w:tc>
          <w:tcPr>
            <w:tcW w:type="dxa" w:w="567"/>
          </w:tcPr>
          <w:p>
            <w:pPr>
              <w:spacing w:after="40"/>
              <w:jc w:val="left"/>
            </w:pPr>
            <w:r/>
            <w:r>
              <w:rPr>
                <w:sz w:val="17"/>
              </w:rPr>
              <w:t>A6</w:t>
            </w:r>
          </w:p>
        </w:tc>
        <w:tc>
          <w:tcPr>
            <w:tcW w:type="dxa" w:w="4535"/>
          </w:tcPr>
          <w:p>
            <w:pPr>
              <w:spacing w:after="40"/>
              <w:jc w:val="left"/>
            </w:pPr>
            <w:r/>
            <w:r>
              <w:rPr>
                <w:sz w:val="17"/>
              </w:rPr>
              <w:t>Decisão sem dependência hierárquica do médico veterinário municipal também em bem-estar animal.</w:t>
            </w:r>
          </w:p>
        </w:tc>
        <w:tc>
          <w:tcPr>
            <w:tcW w:type="dxa" w:w="3969"/>
          </w:tcPr>
          <w:p>
            <w:pPr>
              <w:spacing w:after="40"/>
              <w:jc w:val="left"/>
            </w:pPr>
            <w:r/>
            <w:r>
              <w:rPr>
                <w:sz w:val="17"/>
              </w:rPr>
              <w:t>O n.º 4 do art.º 2.º do DL 116/98 só a prevê para a saúde pública.</w:t>
            </w:r>
          </w:p>
        </w:tc>
      </w:tr>
      <w:tr>
        <w:tc>
          <w:tcPr>
            <w:tcW w:type="dxa" w:w="567"/>
          </w:tcPr>
          <w:p>
            <w:pPr>
              <w:spacing w:after="40"/>
              <w:jc w:val="left"/>
            </w:pPr>
            <w:r/>
            <w:r>
              <w:rPr>
                <w:sz w:val="17"/>
              </w:rPr>
              <w:t>A7</w:t>
            </w:r>
          </w:p>
        </w:tc>
        <w:tc>
          <w:tcPr>
            <w:tcW w:type="dxa" w:w="4535"/>
          </w:tcPr>
          <w:p>
            <w:pPr>
              <w:spacing w:after="40"/>
              <w:jc w:val="left"/>
            </w:pPr>
            <w:r/>
            <w:r>
              <w:rPr>
                <w:sz w:val="17"/>
              </w:rPr>
              <w:t>Intervenção multidisciplinar nos casos de acumulação de animais.</w:t>
            </w:r>
          </w:p>
        </w:tc>
        <w:tc>
          <w:tcPr>
            <w:tcW w:type="dxa" w:w="3969"/>
          </w:tcPr>
          <w:p>
            <w:pPr>
              <w:spacing w:after="40"/>
              <w:jc w:val="left"/>
            </w:pPr>
            <w:r/>
            <w:r>
              <w:rPr>
                <w:sz w:val="17"/>
              </w:rPr>
              <w:t>Envolve serviços de saúde e de ação social fora da tutela da DGAV.</w:t>
            </w:r>
          </w:p>
        </w:tc>
      </w:tr>
      <w:tr>
        <w:tc>
          <w:tcPr>
            <w:tcW w:type="dxa" w:w="567"/>
          </w:tcPr>
          <w:p>
            <w:pPr>
              <w:spacing w:after="40"/>
              <w:jc w:val="left"/>
            </w:pPr>
            <w:r/>
            <w:r>
              <w:rPr>
                <w:sz w:val="17"/>
              </w:rPr>
              <w:t>A8</w:t>
            </w:r>
          </w:p>
        </w:tc>
        <w:tc>
          <w:tcPr>
            <w:tcW w:type="dxa" w:w="4535"/>
          </w:tcPr>
          <w:p>
            <w:pPr>
              <w:spacing w:after="40"/>
              <w:jc w:val="left"/>
            </w:pPr>
            <w:r/>
            <w:r>
              <w:rPr>
                <w:sz w:val="17"/>
              </w:rPr>
              <w:t>Destino dos animais quando o alojamento é encerrado (art.º 3.º-G).</w:t>
            </w:r>
          </w:p>
        </w:tc>
        <w:tc>
          <w:tcPr>
            <w:tcW w:type="dxa" w:w="3969"/>
          </w:tcPr>
          <w:p>
            <w:pPr>
              <w:spacing w:after="40"/>
              <w:jc w:val="left"/>
            </w:pPr>
            <w:r/>
            <w:r>
              <w:rPr>
                <w:sz w:val="17"/>
              </w:rPr>
              <w:t>O artigo manda as câmaras recolher, mas não diz para onde nem quem decide o destino.</w:t>
            </w:r>
          </w:p>
        </w:tc>
      </w:tr>
    </w:tbl>
    <w:p>
      <w:pPr>
        <w:spacing w:after="80"/>
      </w:pPr>
    </w:p>
    <w:p>
      <w:pPr>
        <w:keepNext/>
        <w:spacing w:before="240" w:after="80"/>
      </w:pPr>
      <w:r>
        <w:rPr>
          <w:b/>
          <w:color w:val="1F3B63"/>
          <w:sz w:val="23"/>
        </w:rPr>
        <w:t>4.6 Recomendações para a posição da DGAV (âmbito A)</w:t>
      </w:r>
    </w:p>
    <w:p>
      <w:pPr>
        <w:pStyle w:val="ListBullet"/>
        <w:spacing w:after="60"/>
        <w:jc w:val="both"/>
      </w:pPr>
      <w:r>
        <w:rPr>
          <w:b/>
        </w:rPr>
        <w:t xml:space="preserve">R1. Aceitar o grupo de trabalho: </w:t>
      </w:r>
      <w:r>
        <w:rPr>
          <w:sz w:val="21"/>
        </w:rPr>
        <w:t>com mandato para reestruturar o texto em tronco comum e módulos (ver 7).</w:t>
      </w:r>
    </w:p>
    <w:p>
      <w:pPr>
        <w:pStyle w:val="ListBullet"/>
        <w:spacing w:after="60"/>
        <w:jc w:val="both"/>
      </w:pPr>
      <w:r>
        <w:rPr>
          <w:b/>
        </w:rPr>
        <w:t xml:space="preserve">R2. Matriz de liderança e de destino por via legal: </w:t>
      </w:r>
      <w:r>
        <w:rPr>
          <w:sz w:val="21"/>
        </w:rPr>
        <w:t>substitui a regra «DGAV coordena sempre». Mantém a regra do fundamento prevalecente (4.6) e a direção técnico-veterinária da DGAV em todas as vias.</w:t>
      </w:r>
    </w:p>
    <w:p>
      <w:pPr>
        <w:pStyle w:val="ListBullet"/>
        <w:spacing w:after="60"/>
        <w:jc w:val="both"/>
      </w:pPr>
      <w:r>
        <w:rPr>
          <w:b/>
        </w:rPr>
        <w:t xml:space="preserve">R3. Completar a base legal: </w:t>
      </w:r>
      <w:r>
        <w:rPr>
          <w:sz w:val="21"/>
        </w:rPr>
        <w:t>com o art.º 1.º-A, o art.º 9.º e o n.º 1 do art.º 10.º da Lei n.º 92/95; os arts. 159.º-A, 178.º, 186.º e 249.º do CPP; os arts. 48.º a 52.º do RJCE; o art.º 3.º do DL 314/2003; o art.º 3.º da Lei n.º 27/2016; os arts. 8.º e 11.º do DL 82/2019.</w:t>
      </w:r>
    </w:p>
    <w:p>
      <w:pPr>
        <w:pStyle w:val="ListBullet"/>
        <w:spacing w:after="60"/>
        <w:jc w:val="both"/>
      </w:pPr>
      <w:r>
        <w:rPr>
          <w:b/>
        </w:rPr>
        <w:t xml:space="preserve">R4. Novos modelos: </w:t>
      </w:r>
      <w:r>
        <w:rPr>
          <w:sz w:val="21"/>
        </w:rPr>
        <w:t>auto de apreensão com permanência no local (fiel depositário) e termo de cedência voluntária.</w:t>
      </w:r>
    </w:p>
    <w:p>
      <w:pPr>
        <w:pStyle w:val="ListBullet"/>
        <w:spacing w:after="60"/>
        <w:jc w:val="both"/>
      </w:pPr>
      <w:r>
        <w:rPr>
          <w:b/>
        </w:rPr>
        <w:t xml:space="preserve">R5. Cláusula de salvaguarda: </w:t>
      </w:r>
      <w:r>
        <w:rPr>
          <w:sz w:val="21"/>
        </w:rPr>
        <w:t>o procedimento é de organização interna; a sua inobservância não afeta a validade dos atos praticados ao abrigo da lei; há uma via urgente simplificada.</w:t>
      </w:r>
    </w:p>
    <w:p>
      <w:pPr>
        <w:pStyle w:val="ListBullet"/>
        <w:spacing w:after="60"/>
        <w:jc w:val="both"/>
      </w:pPr>
      <w:r>
        <w:rPr>
          <w:b/>
        </w:rPr>
        <w:t xml:space="preserve">R6. Bolsa de entidades por protocolo: </w:t>
      </w:r>
      <w:r>
        <w:rPr>
          <w:sz w:val="21"/>
        </w:rPr>
        <w:t>em vez de credenciação com sanções; requisitos assentes em títulos legais existentes.</w:t>
      </w:r>
    </w:p>
    <w:p>
      <w:pPr>
        <w:pStyle w:val="ListBullet"/>
        <w:spacing w:after="60"/>
        <w:jc w:val="both"/>
      </w:pPr>
      <w:r>
        <w:rPr>
          <w:b/>
        </w:rPr>
        <w:t xml:space="preserve">R7. Comunicação: </w:t>
      </w:r>
      <w:r>
        <w:rPr>
          <w:sz w:val="21"/>
        </w:rPr>
        <w:t>regras de reserva como cláusula do termo de compromisso; coordenação com o Ministério Público quando há processo penal; dever da DGAV de informar no fim; retirar a linguagem valorativa.</w:t>
      </w:r>
    </w:p>
    <w:p>
      <w:pPr>
        <w:pStyle w:val="ListBullet"/>
        <w:spacing w:after="60"/>
        <w:jc w:val="both"/>
      </w:pPr>
      <w:r>
        <w:rPr>
          <w:b/>
        </w:rPr>
        <w:t xml:space="preserve">R8. SIAC: </w:t>
      </w:r>
      <w:r>
        <w:rPr>
          <w:sz w:val="21"/>
        </w:rPr>
        <w:t>criar no Manual de Procedimentos o estado «sob apreensão ou custódia» e usar a suspensão cautelar de acesso.</w:t>
      </w:r>
    </w:p>
    <w:p>
      <w:pPr>
        <w:pStyle w:val="ListBullet"/>
        <w:spacing w:after="60"/>
        <w:jc w:val="both"/>
      </w:pPr>
      <w:r>
        <w:rPr>
          <w:b/>
        </w:rPr>
        <w:t xml:space="preserve">R9. Orientação interpretativa sobre a presunção de 15 dias: </w:t>
      </w:r>
      <w:r>
        <w:rPr>
          <w:sz w:val="21"/>
        </w:rPr>
        <w:t>dirigida aos municípios, enquanto a lei não for alterada.</w:t>
      </w:r>
    </w:p>
    <w:p>
      <w:pPr>
        <w:pStyle w:val="ListBullet"/>
        <w:spacing w:after="60"/>
        <w:jc w:val="both"/>
      </w:pPr>
      <w:r>
        <w:rPr>
          <w:b/>
        </w:rPr>
        <w:t xml:space="preserve">R10. Eutanásia: </w:t>
      </w:r>
      <w:r>
        <w:rPr>
          <w:sz w:val="21"/>
        </w:rPr>
        <w:t>separar companhia e produção; critério do n.º 6 do art.º 3.º da Lei n.º 27/2016; estado de necessidade no local; comunicação ao Ministério Público e exame quando há processo penal.</w:t>
      </w:r>
    </w:p>
    <w:p>
      <w:pPr>
        <w:pStyle w:val="ListBullet"/>
        <w:spacing w:after="60"/>
        <w:jc w:val="both"/>
      </w:pPr>
      <w:r>
        <w:rPr>
          <w:b/>
        </w:rPr>
        <w:t xml:space="preserve">R11. Acumulação de animais: </w:t>
      </w:r>
      <w:r>
        <w:rPr>
          <w:sz w:val="21"/>
        </w:rPr>
        <w:t>submódulo com autoridade de saúde e ação social.</w:t>
      </w:r>
    </w:p>
    <w:p>
      <w:pPr>
        <w:pStyle w:val="ListBullet"/>
        <w:spacing w:after="60"/>
        <w:jc w:val="both"/>
      </w:pPr>
      <w:r>
        <w:rPr>
          <w:b/>
        </w:rPr>
        <w:t xml:space="preserve">R12. Proporcionalidade dos deveres da DGAV: </w:t>
      </w:r>
      <w:r>
        <w:rPr>
          <w:sz w:val="21"/>
        </w:rPr>
        <w:t>limiar a partir do qual se aplicam todos os deveres.</w:t>
      </w:r>
    </w:p>
    <w:p>
      <w:pPr>
        <w:pStyle w:val="ListBullet"/>
        <w:spacing w:after="60"/>
        <w:jc w:val="both"/>
      </w:pPr>
      <w:r>
        <w:rPr>
          <w:b/>
        </w:rPr>
        <w:t xml:space="preserve">R13. Levar ao RGAC as necessidades A1 a A8: </w:t>
      </w:r>
      <w:r>
        <w:rPr>
          <w:sz w:val="21"/>
        </w:rPr>
        <w:t>ver 6.1.</w:t>
      </w:r>
    </w:p>
    <w:p>
      <w:pPr>
        <w:keepNext/>
        <w:spacing w:before="360" w:after="120"/>
      </w:pPr>
      <w:r>
        <w:rPr>
          <w:b/>
          <w:color w:val="1F3B63"/>
          <w:sz w:val="27"/>
        </w:rPr>
        <w:t>5. Âmbito B: socorro animal em emergência</w:t>
      </w:r>
    </w:p>
    <w:p>
      <w:pPr>
        <w:keepNext/>
        <w:spacing w:before="240" w:after="80"/>
      </w:pPr>
      <w:r>
        <w:rPr>
          <w:b/>
          <w:color w:val="1F3B63"/>
          <w:sz w:val="23"/>
        </w:rPr>
        <w:t>5.1 Situações-tipo</w:t>
      </w:r>
    </w:p>
    <w:p>
      <w:pPr>
        <w:pStyle w:val="ListBullet"/>
        <w:spacing w:after="60"/>
        <w:jc w:val="both"/>
      </w:pPr>
      <w:r>
        <w:rPr>
          <w:sz w:val="21"/>
        </w:rPr>
        <w:t>Incêndio rural, cheia ou outro acidente grave que atinge habitações com animais. As pessoas são evacuadas e os animais ficam, fogem ou são levados pelos detentores para locais que não os aceitam.</w:t>
      </w:r>
    </w:p>
    <w:p>
      <w:pPr>
        <w:pStyle w:val="ListBullet"/>
        <w:spacing w:after="60"/>
        <w:jc w:val="both"/>
      </w:pPr>
      <w:r>
        <w:rPr>
          <w:sz w:val="21"/>
        </w:rPr>
        <w:t>Acidente que atinge um alojamento com muitos animais: CRO, abrigo de associação, criador. O incêndio de julho de 2020 em Santo Tirso, que atingiu abrigos sem registo, é o precedente nacional mais conhecido.</w:t>
      </w:r>
    </w:p>
    <w:p>
      <w:pPr>
        <w:pStyle w:val="ListBullet"/>
        <w:spacing w:after="60"/>
        <w:jc w:val="both"/>
      </w:pPr>
      <w:r>
        <w:rPr>
          <w:sz w:val="21"/>
        </w:rPr>
        <w:t>Animais errantes ou perdidos na sequência da catástrofe, sem detentor presente.</w:t>
      </w:r>
    </w:p>
    <w:p>
      <w:pPr>
        <w:keepNext/>
        <w:spacing w:before="240" w:after="80"/>
      </w:pPr>
      <w:r>
        <w:rPr>
          <w:b/>
          <w:color w:val="1F3B63"/>
          <w:sz w:val="23"/>
        </w:rPr>
        <w:t>5.2 Legislação vigente</w:t>
      </w:r>
    </w:p>
    <w:p>
      <w:pPr>
        <w:spacing w:after="120"/>
      </w:pPr>
      <w:r>
        <w:rPr>
          <w:b w:val="0"/>
          <w:i w:val="0"/>
          <w:sz w:val="21"/>
        </w:rPr>
        <w:t>A Lei n.º 38/2026, de 3 de agosto, em vigor desde 8.8.2026, integrou o socorro animal na proteção civil. As normas alteradas, citadas a partir do texto publicado no Diário da República:</w:t>
      </w:r>
    </w:p>
    <w:p>
      <w:pPr>
        <w:spacing w:after="40"/>
        <w:ind w:left="454" w:right="227"/>
      </w:pPr>
      <w:r>
        <w:rPr>
          <w:i/>
          <w:sz w:val="19"/>
        </w:rPr>
        <w:t>«1 — A proteção civil é a atividade desenvolvida pelo Estado, Regiões Autónomas e autarquias locais, pelos cidadãos e por todas as entidades públicas e privadas com a finalidade de prevenir riscos coletivos inerentes a situações de acidente grave ou catástrofe, de atenuar os seus efeitos e proteger e socorrer as pessoas, os animais e bens em perigo quando aquelas situações ocorram.»</w:t>
      </w:r>
    </w:p>
    <w:p>
      <w:pPr>
        <w:spacing w:after="160"/>
        <w:ind w:left="454"/>
      </w:pPr>
      <w:r>
        <w:rPr>
          <w:color w:val="555555"/>
          <w:sz w:val="17"/>
        </w:rPr>
        <w:t>n.º 1 do art.º 1.º da Lei de Bases da Proteção Civil (Lei n.º 27/2006, de 3 de julho), na redação da Lei n.º 38/2026, de 3 de agosto</w:t>
      </w:r>
    </w:p>
    <w:p>
      <w:pPr>
        <w:spacing w:after="40"/>
        <w:ind w:left="454" w:right="227"/>
      </w:pPr>
      <w:r>
        <w:rPr>
          <w:i/>
          <w:sz w:val="19"/>
        </w:rPr>
        <w:t>«e) Planeamento de soluções de emergência, visando a busca, o salvamento, a prestação de socorro e de assistência, bem como a evacuação, alojamento e abastecimento dos animais;»</w:t>
      </w:r>
    </w:p>
    <w:p>
      <w:pPr>
        <w:spacing w:after="160"/>
        <w:ind w:left="454"/>
      </w:pPr>
      <w:r>
        <w:rPr>
          <w:color w:val="555555"/>
          <w:sz w:val="17"/>
        </w:rPr>
        <w:t>al. e), do n.º 2, do art.º 4.º da Lei de Bases da Proteção Civil (Lei n.º 27/2006, de 3 de julho), na redação da Lei n.º 38/2026, de 3 de agosto</w:t>
      </w:r>
    </w:p>
    <w:p>
      <w:pPr>
        <w:spacing w:after="40"/>
        <w:ind w:left="454" w:right="227"/>
      </w:pPr>
      <w:r>
        <w:rPr>
          <w:i/>
          <w:sz w:val="19"/>
        </w:rPr>
        <w:t>«f) Um representante de saúde e bem-estar animal a designar pela Direção-Geral de Alimentação e Veterinária (DGAV).»</w:t>
      </w:r>
    </w:p>
    <w:p>
      <w:pPr>
        <w:spacing w:after="160"/>
        <w:ind w:left="454"/>
      </w:pPr>
      <w:r>
        <w:rPr>
          <w:color w:val="555555"/>
          <w:sz w:val="17"/>
        </w:rPr>
        <w:t>al. f), do n.º 1, do art.º 37.º da Lei de Bases da Proteção Civil (Lei n.º 27/2006, de 3 de julho), na redação da Lei n.º 38/2026, de 3 de agosto (Comissão Nacional de Proteção Civil)</w:t>
      </w:r>
    </w:p>
    <w:p>
      <w:pPr>
        <w:spacing w:after="40"/>
        <w:ind w:left="454" w:right="227"/>
      </w:pPr>
      <w:r>
        <w:rPr>
          <w:i/>
          <w:sz w:val="19"/>
        </w:rPr>
        <w:t>«i) Um representante de saúde e bem-estar animal a designar pela DGAV.»</w:t>
      </w:r>
    </w:p>
    <w:p>
      <w:pPr>
        <w:spacing w:after="160"/>
        <w:ind w:left="454"/>
      </w:pPr>
      <w:r>
        <w:rPr>
          <w:color w:val="555555"/>
          <w:sz w:val="17"/>
        </w:rPr>
        <w:t>al. i), do n.º 1, do art.º 39.º da Lei de Bases da Proteção Civil (Lei n.º 27/2006, de 3 de julho), na redação da Lei n.º 38/2026, de 3 de agosto (comissões distritais de proteção civil)</w:t>
      </w:r>
    </w:p>
    <w:p>
      <w:pPr>
        <w:spacing w:after="40"/>
        <w:ind w:left="454" w:right="227"/>
      </w:pPr>
      <w:r>
        <w:rPr>
          <w:i/>
          <w:sz w:val="19"/>
        </w:rPr>
        <w:t>«j) Um representante da autoridade sanitária veterinária concelhia;</w:t>
      </w:r>
    </w:p>
    <w:p>
      <w:pPr>
        <w:spacing w:after="40"/>
        <w:ind w:left="454" w:right="227"/>
      </w:pPr>
      <w:r>
        <w:rPr>
          <w:i/>
          <w:sz w:val="19"/>
        </w:rPr>
        <w:t>k) Representantes de entidades legalmente constituídas no âmbito da busca, salvamento, prestação de socorro, assistência, evacuação, alojamento ou abastecimento de animais, reconhecidos pelo município;»</w:t>
      </w:r>
    </w:p>
    <w:p>
      <w:pPr>
        <w:spacing w:after="160"/>
        <w:ind w:left="454"/>
      </w:pPr>
      <w:r>
        <w:rPr>
          <w:color w:val="555555"/>
          <w:sz w:val="17"/>
        </w:rPr>
        <w:t>als. j) e k) do art.º 41.º da Lei de Bases da Proteção Civil (Lei n.º 27/2006, de 3 de julho), na redação da Lei n.º 38/2026, de 3 de agosto (comissões municipais de proteção civil)</w:t>
      </w:r>
    </w:p>
    <w:p>
      <w:pPr>
        <w:spacing w:after="40"/>
        <w:ind w:left="454" w:right="227"/>
      </w:pPr>
      <w:r>
        <w:rPr>
          <w:i/>
          <w:sz w:val="19"/>
        </w:rPr>
        <w:t>«e) Planeamento de soluções de emergência, visando a busca, o salvamento a prestação de socorro e de assistência, bem como a evacuação, alojamento e abastecimento dos animais presentes no município, incluindo a realização de simulacros;»</w:t>
      </w:r>
    </w:p>
    <w:p>
      <w:pPr>
        <w:spacing w:after="160"/>
        <w:ind w:left="454"/>
      </w:pPr>
      <w:r>
        <w:rPr>
          <w:color w:val="555555"/>
          <w:sz w:val="17"/>
        </w:rPr>
        <w:t>al. e), do n.º 2, do art.º 2.º da Lei n.º 65/2007, de 12 de novembro, na redação da Lei n.º 38/2026</w:t>
      </w:r>
    </w:p>
    <w:p>
      <w:pPr>
        <w:spacing w:after="40"/>
        <w:ind w:left="454" w:right="227"/>
      </w:pPr>
      <w:r>
        <w:rPr>
          <w:i/>
          <w:sz w:val="19"/>
        </w:rPr>
        <w:t>«k) Direção-Geral de Alimentação e Veterinária (DGAV);»</w:t>
      </w:r>
    </w:p>
    <w:p>
      <w:pPr>
        <w:spacing w:after="160"/>
        <w:ind w:left="454"/>
      </w:pPr>
      <w:r>
        <w:rPr>
          <w:color w:val="555555"/>
          <w:sz w:val="17"/>
        </w:rPr>
        <w:t>al. k), do n.º 2, do art.º 3.º do Sistema Integrado de Operações de Proteção e Socorro, anexo ao Decreto-Lei n.º 90-A/2022, de 30 de dezembro, na redação da Lei n.º 38/2026 (CCON)</w:t>
      </w:r>
    </w:p>
    <w:p>
      <w:pPr>
        <w:spacing w:after="40"/>
        <w:ind w:left="454" w:right="227"/>
      </w:pPr>
      <w:r>
        <w:rPr>
          <w:i/>
          <w:sz w:val="19"/>
        </w:rPr>
        <w:t>«j) DGAV;»</w:t>
      </w:r>
    </w:p>
    <w:p>
      <w:pPr>
        <w:spacing w:after="160"/>
        <w:ind w:left="454"/>
      </w:pPr>
      <w:r>
        <w:rPr>
          <w:color w:val="555555"/>
          <w:sz w:val="17"/>
        </w:rPr>
        <w:t>al. j), do n.º 2, do art.º 4.º do Sistema Integrado de Operações de Proteção e Socorro, anexo ao Decreto-Lei n.º 90-A/2022, de 30 de dezembro, na redação da Lei n.º 38/2026 (CCOR)</w:t>
      </w:r>
    </w:p>
    <w:p>
      <w:pPr>
        <w:spacing w:after="40"/>
        <w:ind w:left="454" w:right="227"/>
      </w:pPr>
      <w:r>
        <w:rPr>
          <w:i/>
          <w:sz w:val="19"/>
        </w:rPr>
        <w:t>«d) Uma zona de concentração de acolhimento de animais, onde se localizam temporariamente os meios e recursos disponíveis e se mantém um sistema de apoio logístico à acomodação, salvamento e triagem de animais.»</w:t>
      </w:r>
    </w:p>
    <w:p>
      <w:pPr>
        <w:spacing w:after="160"/>
        <w:ind w:left="454"/>
      </w:pPr>
      <w:r>
        <w:rPr>
          <w:color w:val="555555"/>
          <w:sz w:val="17"/>
        </w:rPr>
        <w:t>al. d) do art.º 13.º do Sistema Integrado de Operações de Proteção e Socorro, anexo ao Decreto-Lei n.º 90-A/2022, de 30 de dezembro, na redação da Lei n.º 38/2026</w:t>
      </w:r>
    </w:p>
    <w:p>
      <w:pPr>
        <w:spacing w:after="120"/>
      </w:pPr>
      <w:r>
        <w:rPr>
          <w:b w:val="0"/>
          <w:i w:val="0"/>
          <w:sz w:val="21"/>
        </w:rPr>
        <w:t>O comando no teatro de operações não foi alterado:</w:t>
      </w:r>
    </w:p>
    <w:p>
      <w:pPr>
        <w:spacing w:after="40"/>
        <w:ind w:left="454" w:right="227"/>
      </w:pPr>
      <w:r>
        <w:rPr>
          <w:i/>
          <w:sz w:val="19"/>
        </w:rPr>
        <w:t>«1 — A responsabilidade pela operação de proteção e socorro incumbe ao comandante da operação de socorro (COS).»</w:t>
      </w:r>
    </w:p>
    <w:p>
      <w:pPr>
        <w:spacing w:after="160"/>
        <w:ind w:left="454"/>
      </w:pPr>
      <w:r>
        <w:rPr>
          <w:color w:val="555555"/>
          <w:sz w:val="17"/>
        </w:rPr>
        <w:t>n.º 1 do art.º 9.º do Sistema Integrado de Operações de Proteção e Socorro, anexo ao Decreto-Lei n.º 90-A/2022, de 30 de dezembro</w:t>
      </w:r>
    </w:p>
    <w:p>
      <w:pPr>
        <w:spacing w:after="40"/>
        <w:ind w:left="454" w:right="227"/>
      </w:pPr>
      <w:r>
        <w:rPr>
          <w:i/>
          <w:sz w:val="19"/>
        </w:rPr>
        <w:t>«e) Comandar os meios humanos e materiais das entidades presentes no teatro de operações, através das respetivas estruturas hierárquicas;»</w:t>
      </w:r>
    </w:p>
    <w:p>
      <w:pPr>
        <w:spacing w:after="40"/>
        <w:ind w:left="454" w:right="227"/>
      </w:pPr>
      <w:r>
        <w:rPr>
          <w:i/>
          <w:sz w:val="19"/>
        </w:rPr>
        <w:t>[…]</w:t>
      </w:r>
    </w:p>
    <w:p>
      <w:pPr>
        <w:spacing w:after="40"/>
        <w:ind w:left="454" w:right="227"/>
      </w:pPr>
      <w:r>
        <w:rPr>
          <w:i/>
          <w:sz w:val="19"/>
        </w:rPr>
        <w:t>«l) Fornecer a informação operacional para divulgação aos órgãos de comunicação social;»</w:t>
      </w:r>
    </w:p>
    <w:p>
      <w:pPr>
        <w:spacing w:after="160"/>
        <w:ind w:left="454"/>
      </w:pPr>
      <w:r>
        <w:rPr>
          <w:color w:val="555555"/>
          <w:sz w:val="17"/>
        </w:rPr>
        <w:t>als. e) e l), do n.º 1, do art.º 10.º do Sistema Integrado de Operações de Proteção e Socorro, anexo ao Decreto-Lei n.º 90-A/2022, de 30 de dezembro</w:t>
      </w:r>
    </w:p>
    <w:p>
      <w:pPr>
        <w:spacing w:after="120"/>
      </w:pPr>
      <w:r>
        <w:rPr>
          <w:b w:val="0"/>
          <w:i w:val="0"/>
          <w:sz w:val="21"/>
        </w:rPr>
        <w:t>A Comissão Nacional de Proteção Civil, onde a DGAV passou a ter representante, define as normas técnicas dos planos de emergência:</w:t>
      </w:r>
    </w:p>
    <w:p>
      <w:pPr>
        <w:spacing w:after="40"/>
        <w:ind w:left="454" w:right="227"/>
      </w:pPr>
      <w:r>
        <w:rPr>
          <w:i/>
          <w:sz w:val="19"/>
        </w:rPr>
        <w:t>«h) Definir os critérios e as normas técnicas sobre a elaboração e operacionalização de planos de emergência de proteção civil;»</w:t>
      </w:r>
    </w:p>
    <w:p>
      <w:pPr>
        <w:spacing w:after="160"/>
        <w:ind w:left="454"/>
      </w:pPr>
      <w:r>
        <w:rPr>
          <w:color w:val="555555"/>
          <w:sz w:val="17"/>
        </w:rPr>
        <w:t>al. h), do n.º 2, do art.º 36.º da Lei de Bases da Proteção Civil, na redação da Lei n.º 80/2015, de 3 de agosto</w:t>
      </w:r>
    </w:p>
    <w:p>
      <w:pPr>
        <w:spacing w:after="120"/>
      </w:pPr>
      <w:r>
        <w:rPr>
          <w:b w:val="0"/>
          <w:i w:val="0"/>
          <w:sz w:val="21"/>
        </w:rPr>
        <w:t>Dois deveres gerais completam o quadro:</w:t>
      </w:r>
    </w:p>
    <w:p>
      <w:pPr>
        <w:spacing w:after="40"/>
        <w:ind w:left="454" w:right="227"/>
      </w:pPr>
      <w:r>
        <w:rPr>
          <w:i/>
          <w:sz w:val="19"/>
        </w:rPr>
        <w:t>«2 - Os animais doentes, feridos ou em perigo devem, na medida do possível, ser socorridos.»</w:t>
      </w:r>
    </w:p>
    <w:p>
      <w:pPr>
        <w:spacing w:after="160"/>
        <w:ind w:left="454"/>
      </w:pPr>
      <w:r>
        <w:rPr>
          <w:color w:val="555555"/>
          <w:sz w:val="17"/>
        </w:rPr>
        <w:t>n.º 2 do art.º 1.º da Lei n.º 92/95, de 12 de setembro (versão consolidada)</w:t>
      </w:r>
    </w:p>
    <w:p>
      <w:pPr>
        <w:spacing w:after="40"/>
        <w:ind w:left="454" w:right="227"/>
      </w:pPr>
      <w:r>
        <w:rPr>
          <w:i/>
          <w:sz w:val="19"/>
        </w:rPr>
        <w:t>«As instalações dos alojamentos referidos nas alíneas p) a t) do n.º 1 do artigo 2.º devem dispor de um sistema de proteção contra incêndios, de alarme para aviso de avarias deste sistema e, ainda, dos equipamentos referidos no artigo 8.º, quando se tratar de alojamentos em edifícios fechados.»</w:t>
      </w:r>
    </w:p>
    <w:p>
      <w:pPr>
        <w:spacing w:after="160"/>
        <w:ind w:left="454"/>
      </w:pPr>
      <w:r>
        <w:rPr>
          <w:color w:val="555555"/>
          <w:sz w:val="17"/>
        </w:rPr>
        <w:t>art.º 11.º do Decreto-Lei n.º 276/2001, de 17 de outubro (versão consolidada)</w:t>
      </w:r>
    </w:p>
    <w:p>
      <w:pPr>
        <w:keepNext/>
        <w:spacing w:before="240" w:after="80"/>
      </w:pPr>
      <w:r>
        <w:rPr>
          <w:b/>
          <w:color w:val="1F3B63"/>
          <w:sz w:val="23"/>
        </w:rPr>
        <w:t>5.3 O que a proposta resolve bem</w:t>
      </w:r>
    </w:p>
    <w:p>
      <w:pPr>
        <w:spacing w:after="120"/>
      </w:pPr>
      <w:r>
        <w:rPr>
          <w:b/>
          <w:color w:val="1F3B63"/>
        </w:rPr>
        <w:t xml:space="preserve">Apreciação. </w:t>
      </w:r>
      <w:r>
        <w:t>A proposta é, até agora, o primeiro texto que leva a sério a Lei n.º 38/2026 do lado veterinário. São positivos:</w:t>
      </w:r>
    </w:p>
    <w:p>
      <w:pPr>
        <w:pStyle w:val="ListBullet"/>
        <w:spacing w:after="60"/>
        <w:jc w:val="both"/>
      </w:pPr>
      <w:r>
        <w:rPr>
          <w:sz w:val="21"/>
        </w:rPr>
        <w:t>a previsão de planos e simulacros articulados com os municipais (3.3 e 3.4);</w:t>
      </w:r>
    </w:p>
    <w:p>
      <w:pPr>
        <w:pStyle w:val="ListBullet"/>
        <w:spacing w:after="60"/>
        <w:jc w:val="both"/>
      </w:pPr>
      <w:r>
        <w:rPr>
          <w:sz w:val="21"/>
        </w:rPr>
        <w:t>o inventário da capacidade mobilizável (3.5), que é exatamente a informação que os planos municipais vão pedir;</w:t>
      </w:r>
    </w:p>
    <w:p>
      <w:pPr>
        <w:pStyle w:val="ListBullet"/>
        <w:spacing w:after="60"/>
        <w:jc w:val="both"/>
      </w:pPr>
      <w:r>
        <w:rPr>
          <w:sz w:val="21"/>
        </w:rPr>
        <w:t>a oferta concreta da OMV: bolsa de 106 médicos veterinários por valência, rede de CAMV (P.A.R.A.) e comissão técnica (11.4); e a rede de médicos veterinários municipais da ANVETEM (11.5);</w:t>
      </w:r>
    </w:p>
    <w:p>
      <w:pPr>
        <w:pStyle w:val="ListBullet"/>
        <w:spacing w:after="60"/>
        <w:jc w:val="both"/>
      </w:pPr>
      <w:r>
        <w:rPr>
          <w:sz w:val="21"/>
        </w:rPr>
        <w:t>a ideia de que os requisitos das entidades sirvam de base ao reconhecimento municipal, para evitar sistemas duplicados (11.2);</w:t>
      </w:r>
    </w:p>
    <w:p>
      <w:pPr>
        <w:pStyle w:val="ListBullet"/>
        <w:spacing w:after="60"/>
        <w:jc w:val="both"/>
      </w:pPr>
      <w:r>
        <w:rPr>
          <w:sz w:val="21"/>
        </w:rPr>
        <w:t>a recomendação de formação específica dos representantes (11.6).</w:t>
      </w:r>
    </w:p>
    <w:p>
      <w:pPr>
        <w:keepNext/>
        <w:spacing w:before="240" w:after="80"/>
      </w:pPr>
      <w:r>
        <w:rPr>
          <w:b/>
          <w:color w:val="1F3B63"/>
          <w:sz w:val="23"/>
        </w:rPr>
        <w:t>5.4 O que a proposta não resolve ou resolve mal</w:t>
      </w:r>
    </w:p>
    <w:p>
      <w:pPr>
        <w:keepNext/>
        <w:spacing w:before="160" w:after="60"/>
      </w:pPr>
      <w:r>
        <w:rPr>
          <w:b/>
          <w:sz w:val="21"/>
        </w:rPr>
        <w:t>a) Comando e porta-voz: conflito com o SIOPS</w:t>
      </w:r>
    </w:p>
    <w:p>
      <w:pPr>
        <w:spacing w:after="120"/>
      </w:pPr>
      <w:r>
        <w:rPr>
          <w:b/>
          <w:color w:val="1F3B63"/>
        </w:rPr>
        <w:t xml:space="preserve">Apreciação. </w:t>
      </w:r>
      <w:r>
        <w:t>O princípio do comando único da autoridade veterinária (princípio 1 e ponto 4) e o porta-voz único da entidade coordenadora (8.1) não podem valer no socorro. Pelo SIOPS, a responsabilidade é do COS, que comanda todos os meios no teatro de operações e fornece a informação à comunicação social. A posição útil da DGAV é outra, a três níveis: estratégico, no CCON, nos CCOR, na Comissão Nacional e nas comissões distritais; técnico, como responsável do setor ou célula de socorro animal no posto de comando, sob o COS (o n.º 1, al. e), do art.º 12.º do SIOPS admite representantes das entidades com meios empenhados); e de planeamento, pelos critérios técnicos da componente animal dos planos. O módulo B deve ser reescrito nestes termos.</w:t>
      </w:r>
    </w:p>
    <w:p>
      <w:pPr>
        <w:keepNext/>
        <w:spacing w:before="160" w:after="60"/>
      </w:pPr>
      <w:r>
        <w:rPr>
          <w:b/>
          <w:sz w:val="21"/>
        </w:rPr>
        <w:t>b) Planeamento: o dever é municipal; a alavanca da DGAV é a Comissão Nacional</w:t>
      </w:r>
    </w:p>
    <w:p>
      <w:pPr>
        <w:spacing w:after="120"/>
      </w:pPr>
      <w:r>
        <w:rPr>
          <w:b/>
          <w:color w:val="1F3B63"/>
        </w:rPr>
        <w:t xml:space="preserve">Apreciação. </w:t>
      </w:r>
      <w:r>
        <w:t>A Lei n.º 38/2026 pôs o dever de planear e de fazer simulacros nos municípios. A proposta põe a DGAV a fazer planos de contingência e simulacros anuais em cada região (3.3 e 3.4), o que duplica e sobrecarrega. A via com mais efeito é outra: através do seu representante na Comissão Nacional, a DGAV propor os critérios técnicos da componente animal dos planos de emergência (al. h) do n.º 2 do art.º 36.º da LBPC). Conteúdo mínimo sugerido: levantamento dos alojamentos e CRO do concelho; locais pré-definidos para a zona de concentração de acolhimento de animais; transporte e caixas; médicos veterinários mobilizáveis; leitura de transponders e consulta ao SIAC; alojamento conjunto de pessoas e animais.</w:t>
      </w:r>
    </w:p>
    <w:p>
      <w:pPr>
        <w:keepNext/>
        <w:spacing w:before="160" w:after="60"/>
      </w:pPr>
      <w:r>
        <w:rPr>
          <w:b/>
          <w:sz w:val="21"/>
        </w:rPr>
        <w:t>c) Um dever novo da DGAV que a proposta não trata</w:t>
      </w:r>
    </w:p>
    <w:p>
      <w:pPr>
        <w:spacing w:after="120"/>
      </w:pPr>
      <w:r>
        <w:rPr>
          <w:b/>
          <w:color w:val="1F3B63"/>
        </w:rPr>
        <w:t xml:space="preserve">Apreciação. </w:t>
      </w:r>
      <w:r>
        <w:t>A Lei n.º 38/2026 obriga a DGAV a designar representantes de saúde e bem-estar animal na Comissão Nacional e em cada comissão distrital de proteção civil, e a ter representante no CCON e nos CCOR. É um dever em vigor desde 8.8.2026. Exige despacho de designação, suplentes, disponibilidade quando os centros são ativados e formação. As cinco DSAVR têm designação territorial próxima das cinco regiões dos CCOR, o que facilita a designação; os limites territoriais devem ser confirmados. A proposta, centrada na OMV e na ANVETEM, não tem este ponto.</w:t>
      </w:r>
    </w:p>
    <w:p>
      <w:pPr>
        <w:keepNext/>
        <w:spacing w:before="160" w:after="60"/>
      </w:pPr>
      <w:r>
        <w:rPr>
          <w:b/>
          <w:sz w:val="21"/>
        </w:rPr>
        <w:t>d) Socorro não é apreensão: falta a reunificação</w:t>
      </w:r>
    </w:p>
    <w:p>
      <w:pPr>
        <w:spacing w:after="120"/>
      </w:pPr>
      <w:r>
        <w:rPr>
          <w:b/>
          <w:color w:val="1F3B63"/>
        </w:rPr>
        <w:t xml:space="preserve">Apreciação. </w:t>
      </w:r>
      <w:r>
        <w:t>No socorro, o animal continua a ser do detentor, que é vítima. A guarda é temporária e o objetivo é devolver. A proposta aplica o vocabulário e os modelos da apreensão (fiel depositário, decisão de destino pela autoridade, dever de reserva). Falta o essencial: leitura do transponder à entrada, consulta ao SIAC, contacto com o titular, registo de cada animal acolhido com local e hora, listas públicas de animais acolhidos, e um prazo de reunificação adaptado a pessoas deslocadas. A DGAV gere o SIAC (n.º 2 do art.º 8.º do DL 82/2019) e é a entidade que pode tornar isto possível. Neste âmbito, a comunicação certa é a contrária da do âmbito A: informação ativa aos detentores sobre onde estão os animais.</w:t>
      </w:r>
    </w:p>
    <w:p>
      <w:pPr>
        <w:keepNext/>
        <w:spacing w:before="160" w:after="60"/>
      </w:pPr>
      <w:r>
        <w:rPr>
          <w:b/>
          <w:sz w:val="21"/>
        </w:rPr>
        <w:t>e) A presunção de 15 dias pode fazer perder animais de pessoas deslocadas</w:t>
      </w:r>
    </w:p>
    <w:p>
      <w:pPr>
        <w:spacing w:after="120"/>
      </w:pPr>
      <w:r>
        <w:rPr>
          <w:b/>
          <w:color w:val="1F3B63"/>
        </w:rPr>
        <w:t xml:space="preserve">Apreciação. </w:t>
      </w:r>
      <w:r>
        <w:t>Se os animais socorridos forem levados para um CRO, a Lei n.º 27/2016 presume-os abandonados aos 15 dias e o DL 82/2019 manda registá-los em nome do CRO. Uma família desalojada por um incêndio pode não os reclamar a tempo. Um despacho não suspende a lei. Até haver norma, a DGAV pode recomendar que os animais socorridos fiquem na zona de concentração ou em alojamento temporário identificado como tal, e não como entrada corrente em CRO, e que a contagem do prazo se faça só a partir da notificação do titular identificado pelo SIAC. É uma solução de recurso; a definitiva é legislativa.</w:t>
      </w:r>
    </w:p>
    <w:p>
      <w:pPr>
        <w:keepNext/>
        <w:spacing w:before="160" w:after="60"/>
      </w:pPr>
      <w:r>
        <w:rPr>
          <w:b/>
          <w:sz w:val="21"/>
        </w:rPr>
        <w:t>f) Eutanásia no terreno</w:t>
      </w:r>
    </w:p>
    <w:p>
      <w:pPr>
        <w:spacing w:after="120"/>
      </w:pPr>
      <w:r>
        <w:rPr>
          <w:b/>
          <w:color w:val="1F3B63"/>
        </w:rPr>
        <w:t xml:space="preserve">Apreciação. </w:t>
      </w:r>
      <w:r>
        <w:t>Em incêndios há animais com queimaduras incompatíveis com a vida, longe de qualquer CRO ou CAMV. A Lei n.º 27/2016 só prevê a eutanásia nesses locais (n.º 6 do art.º 3.º). O médico veterinário que atua no terreno fá-lo em estado de necessidade. A DGAV deve emitir orientação técnica para estes casos: critérios clínicos, métodos, registo, identificação do animal e comunicação ao titular.</w:t>
      </w:r>
    </w:p>
    <w:p>
      <w:pPr>
        <w:keepNext/>
        <w:spacing w:before="160" w:after="60"/>
      </w:pPr>
      <w:r>
        <w:rPr>
          <w:b/>
          <w:sz w:val="21"/>
        </w:rPr>
        <w:t>g) Os alojamentos como pontos de risco</w:t>
      </w:r>
    </w:p>
    <w:p>
      <w:pPr>
        <w:spacing w:after="120"/>
      </w:pPr>
      <w:r>
        <w:rPr>
          <w:b/>
          <w:color w:val="1F3B63"/>
        </w:rPr>
        <w:t xml:space="preserve">Apreciação. </w:t>
      </w:r>
      <w:r>
        <w:t>O art.º 11.º do DL 276/2001 só exige proteção contra incêndios em edifícios fechados. Não há dever de plano de evacuação em CRO, abrigos ou criadores, muitos em zonas rurais ou florestais. A DGAV tem a lista dos alojamentos com mera comunicação prévia: partilhá-la com os serviços municipais de proteção civil, para efeitos do planeamento que a Lei n.º 38/2026 lhes impõe, é uma medida imediata. O dever de plano de evacuação é matéria para o RGAC.</w:t>
      </w:r>
    </w:p>
    <w:p>
      <w:pPr>
        <w:keepNext/>
        <w:spacing w:before="160" w:after="60"/>
      </w:pPr>
      <w:r>
        <w:rPr>
          <w:b/>
          <w:sz w:val="21"/>
        </w:rPr>
        <w:t>h) Reconhecimento das entidades e voluntários</w:t>
      </w:r>
    </w:p>
    <w:p>
      <w:pPr>
        <w:spacing w:after="120"/>
      </w:pPr>
      <w:r>
        <w:rPr>
          <w:b/>
          <w:color w:val="1F3B63"/>
        </w:rPr>
        <w:t xml:space="preserve">Apreciação. </w:t>
      </w:r>
      <w:r>
        <w:t>O reconhecimento municipal da Lei n.º 38/2026 serve para compor a comissão municipal. Os requisitos do ponto 9 podem ser propostos aos municípios como referência, via Comissão Nacional ou ANEPC, mas a DGAV não os pode impor. A bolsa da OMV deve entrar por protocolo, com seguro e com integração sob o COS. Falta prever a gestão de voluntários espontâneos, que nas catástrofes chegam em número e sem enquadramento.</w:t>
      </w:r>
    </w:p>
    <w:p>
      <w:pPr>
        <w:keepNext/>
        <w:spacing w:before="160" w:after="60"/>
      </w:pPr>
      <w:r>
        <w:rPr>
          <w:b/>
          <w:sz w:val="21"/>
        </w:rPr>
        <w:t>i) Passagem do socorro à retirada</w:t>
      </w:r>
    </w:p>
    <w:p>
      <w:pPr>
        <w:spacing w:after="120"/>
      </w:pPr>
      <w:r>
        <w:rPr>
          <w:b/>
          <w:color w:val="1F3B63"/>
        </w:rPr>
        <w:t xml:space="preserve">Apreciação. </w:t>
      </w:r>
      <w:r>
        <w:t>O socorro pode revelar maus-tratos ou um alojamento ilegal (foi o caso de Santo Tirso). O procedimento deve prever a passagem do âmbito B para o âmbito A: preservar a prova, registar o estado dos animais, comunicar à autoridade competente e mudar o título da guarda.</w:t>
      </w:r>
    </w:p>
    <w:p>
      <w:pPr>
        <w:keepNext/>
        <w:spacing w:before="240" w:after="80"/>
      </w:pPr>
      <w:r>
        <w:rPr>
          <w:b/>
          <w:color w:val="1F3B63"/>
          <w:sz w:val="23"/>
        </w:rPr>
        <w:t>5.5 Necessidades face à legislação vigente (âmbito B)</w:t>
      </w:r>
    </w:p>
    <w:tbl>
      <w:tblPr>
        <w:tblStyle w:val="TableGrid"/>
        <w:tblW w:type="auto" w:w="0"/>
        <w:jc w:val="center"/>
        <w:tblLook w:firstColumn="1" w:firstRow="1" w:lastColumn="0" w:lastRow="0" w:noHBand="0" w:noVBand="1" w:val="04A0"/>
      </w:tblPr>
      <w:tblGrid>
        <w:gridCol w:w="3135"/>
        <w:gridCol w:w="3135"/>
        <w:gridCol w:w="3135"/>
      </w:tblGrid>
      <w:tr>
        <w:tc>
          <w:tcPr>
            <w:tcW w:type="dxa" w:w="567"/>
          </w:tcPr>
          <w:p>
            <w:pPr>
              <w:spacing w:after="40"/>
            </w:pPr>
            <w:r/>
            <w:r>
              <w:rPr>
                <w:b/>
                <w:color w:val="1F3B63"/>
                <w:sz w:val="18"/>
              </w:rPr>
              <w:t>N.º</w:t>
            </w:r>
          </w:p>
        </w:tc>
        <w:tc>
          <w:tcPr>
            <w:tcW w:type="dxa" w:w="5102"/>
          </w:tcPr>
          <w:p>
            <w:pPr>
              <w:spacing w:after="40"/>
            </w:pPr>
            <w:r/>
            <w:r>
              <w:rPr>
                <w:b/>
                <w:color w:val="1F3B63"/>
                <w:sz w:val="18"/>
              </w:rPr>
              <w:t>Necessidade</w:t>
            </w:r>
          </w:p>
        </w:tc>
        <w:tc>
          <w:tcPr>
            <w:tcW w:type="dxa" w:w="3402"/>
          </w:tcPr>
          <w:p>
            <w:pPr>
              <w:spacing w:after="40"/>
            </w:pPr>
            <w:r/>
            <w:r>
              <w:rPr>
                <w:b/>
                <w:color w:val="1F3B63"/>
                <w:sz w:val="18"/>
              </w:rPr>
              <w:t>Onde tratar</w:t>
            </w:r>
          </w:p>
        </w:tc>
      </w:tr>
      <w:tr>
        <w:tc>
          <w:tcPr>
            <w:tcW w:type="dxa" w:w="567"/>
          </w:tcPr>
          <w:p>
            <w:pPr>
              <w:spacing w:after="40"/>
              <w:jc w:val="left"/>
            </w:pPr>
            <w:r/>
            <w:r>
              <w:rPr>
                <w:sz w:val="17"/>
              </w:rPr>
              <w:t>B1</w:t>
            </w:r>
          </w:p>
        </w:tc>
        <w:tc>
          <w:tcPr>
            <w:tcW w:type="dxa" w:w="5102"/>
          </w:tcPr>
          <w:p>
            <w:pPr>
              <w:spacing w:after="40"/>
              <w:jc w:val="left"/>
            </w:pPr>
            <w:r/>
            <w:r>
              <w:rPr>
                <w:sz w:val="17"/>
              </w:rPr>
              <w:t>Norma sobre animais de companhia em acidente grave ou catástrofe: guarda temporária, reunificação, prazos, presunção de abandono suspensa.</w:t>
            </w:r>
          </w:p>
        </w:tc>
        <w:tc>
          <w:tcPr>
            <w:tcW w:type="dxa" w:w="3402"/>
          </w:tcPr>
          <w:p>
            <w:pPr>
              <w:spacing w:after="40"/>
              <w:jc w:val="left"/>
            </w:pPr>
            <w:r/>
            <w:r>
              <w:rPr>
                <w:sz w:val="17"/>
              </w:rPr>
              <w:t>RGAC (hoje omisso).</w:t>
            </w:r>
          </w:p>
        </w:tc>
      </w:tr>
      <w:tr>
        <w:tc>
          <w:tcPr>
            <w:tcW w:type="dxa" w:w="567"/>
          </w:tcPr>
          <w:p>
            <w:pPr>
              <w:spacing w:after="40"/>
              <w:jc w:val="left"/>
            </w:pPr>
            <w:r/>
            <w:r>
              <w:rPr>
                <w:sz w:val="17"/>
              </w:rPr>
              <w:t>B2</w:t>
            </w:r>
          </w:p>
        </w:tc>
        <w:tc>
          <w:tcPr>
            <w:tcW w:type="dxa" w:w="5102"/>
          </w:tcPr>
          <w:p>
            <w:pPr>
              <w:spacing w:after="40"/>
              <w:jc w:val="left"/>
            </w:pPr>
            <w:r/>
            <w:r>
              <w:rPr>
                <w:sz w:val="17"/>
              </w:rPr>
              <w:t>Plano de evacuação obrigatório para CRO, abrigos e alojamentos acima de certa dimensão.</w:t>
            </w:r>
          </w:p>
        </w:tc>
        <w:tc>
          <w:tcPr>
            <w:tcW w:type="dxa" w:w="3402"/>
          </w:tcPr>
          <w:p>
            <w:pPr>
              <w:spacing w:after="40"/>
              <w:jc w:val="left"/>
            </w:pPr>
            <w:r/>
            <w:r>
              <w:rPr>
                <w:sz w:val="17"/>
              </w:rPr>
              <w:t>RGAC.</w:t>
            </w:r>
          </w:p>
        </w:tc>
      </w:tr>
      <w:tr>
        <w:tc>
          <w:tcPr>
            <w:tcW w:type="dxa" w:w="567"/>
          </w:tcPr>
          <w:p>
            <w:pPr>
              <w:spacing w:after="40"/>
              <w:jc w:val="left"/>
            </w:pPr>
            <w:r/>
            <w:r>
              <w:rPr>
                <w:sz w:val="17"/>
              </w:rPr>
              <w:t>B3</w:t>
            </w:r>
          </w:p>
        </w:tc>
        <w:tc>
          <w:tcPr>
            <w:tcW w:type="dxa" w:w="5102"/>
          </w:tcPr>
          <w:p>
            <w:pPr>
              <w:spacing w:after="40"/>
              <w:jc w:val="left"/>
            </w:pPr>
            <w:r/>
            <w:r>
              <w:rPr>
                <w:sz w:val="17"/>
              </w:rPr>
              <w:t>Requisitos da zona de concentração de acolhimento de animais e critérios de reconhecimento das entidades.</w:t>
            </w:r>
          </w:p>
        </w:tc>
        <w:tc>
          <w:tcPr>
            <w:tcW w:type="dxa" w:w="3402"/>
          </w:tcPr>
          <w:p>
            <w:pPr>
              <w:spacing w:after="40"/>
              <w:jc w:val="left"/>
            </w:pPr>
            <w:r/>
            <w:r>
              <w:rPr>
                <w:sz w:val="17"/>
              </w:rPr>
              <w:t>Normas técnicas da Comissão Nacional ou diretiva da ANEPC, com proposta da DGAV.</w:t>
            </w:r>
          </w:p>
        </w:tc>
      </w:tr>
      <w:tr>
        <w:tc>
          <w:tcPr>
            <w:tcW w:type="dxa" w:w="567"/>
          </w:tcPr>
          <w:p>
            <w:pPr>
              <w:spacing w:after="40"/>
              <w:jc w:val="left"/>
            </w:pPr>
            <w:r/>
            <w:r>
              <w:rPr>
                <w:sz w:val="17"/>
              </w:rPr>
              <w:t>B4</w:t>
            </w:r>
          </w:p>
        </w:tc>
        <w:tc>
          <w:tcPr>
            <w:tcW w:type="dxa" w:w="5102"/>
          </w:tcPr>
          <w:p>
            <w:pPr>
              <w:spacing w:after="40"/>
              <w:jc w:val="left"/>
            </w:pPr>
            <w:r/>
            <w:r>
              <w:rPr>
                <w:sz w:val="17"/>
              </w:rPr>
              <w:t>Eutanásia fora de CRO e CAMV em emergência.</w:t>
            </w:r>
          </w:p>
        </w:tc>
        <w:tc>
          <w:tcPr>
            <w:tcW w:type="dxa" w:w="3402"/>
          </w:tcPr>
          <w:p>
            <w:pPr>
              <w:spacing w:after="40"/>
              <w:jc w:val="left"/>
            </w:pPr>
            <w:r/>
            <w:r>
              <w:rPr>
                <w:sz w:val="17"/>
              </w:rPr>
              <w:t>Lei n.º 27/2016 ou RGAC; até lá, orientação da DGAV.</w:t>
            </w:r>
          </w:p>
        </w:tc>
      </w:tr>
      <w:tr>
        <w:tc>
          <w:tcPr>
            <w:tcW w:type="dxa" w:w="567"/>
          </w:tcPr>
          <w:p>
            <w:pPr>
              <w:spacing w:after="40"/>
              <w:jc w:val="left"/>
            </w:pPr>
            <w:r/>
            <w:r>
              <w:rPr>
                <w:sz w:val="17"/>
              </w:rPr>
              <w:t>B5</w:t>
            </w:r>
          </w:p>
        </w:tc>
        <w:tc>
          <w:tcPr>
            <w:tcW w:type="dxa" w:w="5102"/>
          </w:tcPr>
          <w:p>
            <w:pPr>
              <w:spacing w:after="40"/>
              <w:jc w:val="left"/>
            </w:pPr>
            <w:r/>
            <w:r>
              <w:rPr>
                <w:sz w:val="17"/>
              </w:rPr>
              <w:t>Financiamento do dever municipal de alojar animais em emergência.</w:t>
            </w:r>
          </w:p>
        </w:tc>
        <w:tc>
          <w:tcPr>
            <w:tcW w:type="dxa" w:w="3402"/>
          </w:tcPr>
          <w:p>
            <w:pPr>
              <w:spacing w:after="40"/>
              <w:jc w:val="left"/>
            </w:pPr>
            <w:r/>
            <w:r>
              <w:rPr>
                <w:sz w:val="17"/>
              </w:rPr>
              <w:t>Instrumentos de apoio aos municípios, incluindo os Avisos de bem-estar animal da DGAV.</w:t>
            </w:r>
          </w:p>
        </w:tc>
      </w:tr>
      <w:tr>
        <w:tc>
          <w:tcPr>
            <w:tcW w:type="dxa" w:w="567"/>
          </w:tcPr>
          <w:p>
            <w:pPr>
              <w:spacing w:after="40"/>
              <w:jc w:val="left"/>
            </w:pPr>
            <w:r/>
            <w:r>
              <w:rPr>
                <w:sz w:val="17"/>
              </w:rPr>
              <w:t>B6</w:t>
            </w:r>
          </w:p>
        </w:tc>
        <w:tc>
          <w:tcPr>
            <w:tcW w:type="dxa" w:w="5102"/>
          </w:tcPr>
          <w:p>
            <w:pPr>
              <w:spacing w:after="40"/>
              <w:jc w:val="left"/>
            </w:pPr>
            <w:r/>
            <w:r>
              <w:rPr>
                <w:sz w:val="17"/>
              </w:rPr>
              <w:t>Partilha de dados do SIAC e da lista de alojamentos com a proteção civil.</w:t>
            </w:r>
          </w:p>
        </w:tc>
        <w:tc>
          <w:tcPr>
            <w:tcW w:type="dxa" w:w="3402"/>
          </w:tcPr>
          <w:p>
            <w:pPr>
              <w:spacing w:after="40"/>
              <w:jc w:val="left"/>
            </w:pPr>
            <w:r/>
            <w:r>
              <w:rPr>
                <w:sz w:val="17"/>
              </w:rPr>
              <w:t>Base legal clara no RGAC e regras de proteção de dados.</w:t>
            </w:r>
          </w:p>
        </w:tc>
      </w:tr>
    </w:tbl>
    <w:p>
      <w:pPr>
        <w:spacing w:after="80"/>
      </w:pPr>
    </w:p>
    <w:p>
      <w:pPr>
        <w:keepNext/>
        <w:spacing w:before="240" w:after="80"/>
      </w:pPr>
      <w:r>
        <w:rPr>
          <w:b/>
          <w:color w:val="1F3B63"/>
          <w:sz w:val="23"/>
        </w:rPr>
        <w:t>5.6 Recomendações para a posição da DGAV (âmbito B)</w:t>
      </w:r>
    </w:p>
    <w:p>
      <w:pPr>
        <w:pStyle w:val="ListBullet"/>
        <w:spacing w:after="60"/>
        <w:jc w:val="both"/>
      </w:pPr>
      <w:r>
        <w:rPr>
          <w:b/>
        </w:rPr>
        <w:t xml:space="preserve">R14. Reescrever a tipologia D: </w:t>
      </w:r>
      <w:r>
        <w:rPr>
          <w:sz w:val="21"/>
        </w:rPr>
        <w:t>integrada no SIOPS: COS comanda; a DGAV dirige tecnicamente o setor animal e garante o registo e a reunificação; a informação pública é do COS, com conteúdos sobre animais preparados pela DGAV.</w:t>
      </w:r>
    </w:p>
    <w:p>
      <w:pPr>
        <w:pStyle w:val="ListBullet"/>
        <w:spacing w:after="60"/>
        <w:jc w:val="both"/>
      </w:pPr>
      <w:r>
        <w:rPr>
          <w:b/>
        </w:rPr>
        <w:t xml:space="preserve">R15. Despacho interno de designação: </w:t>
      </w:r>
      <w:r>
        <w:rPr>
          <w:sz w:val="21"/>
        </w:rPr>
        <w:t>dos representantes na Comissão Nacional, nas comissões distritais, no CCON e nos CCOR, com suplentes, contactos e formação.</w:t>
      </w:r>
    </w:p>
    <w:p>
      <w:pPr>
        <w:pStyle w:val="ListBullet"/>
        <w:spacing w:after="60"/>
        <w:jc w:val="both"/>
      </w:pPr>
      <w:r>
        <w:rPr>
          <w:b/>
        </w:rPr>
        <w:t xml:space="preserve">R16. Proposta de critérios técnicos: </w:t>
      </w:r>
      <w:r>
        <w:rPr>
          <w:sz w:val="21"/>
        </w:rPr>
        <w:t>para a componente animal dos planos municipais, a apresentar na Comissão Nacional.</w:t>
      </w:r>
    </w:p>
    <w:p>
      <w:pPr>
        <w:pStyle w:val="ListBullet"/>
        <w:spacing w:after="60"/>
        <w:jc w:val="both"/>
      </w:pPr>
      <w:r>
        <w:rPr>
          <w:b/>
        </w:rPr>
        <w:t xml:space="preserve">R17. Protocolo de reunificação no SIAC: </w:t>
      </w:r>
      <w:r>
        <w:rPr>
          <w:sz w:val="21"/>
        </w:rPr>
        <w:t>registo de animais acolhidos em emergência, consulta e listas públicas.</w:t>
      </w:r>
    </w:p>
    <w:p>
      <w:pPr>
        <w:pStyle w:val="ListBullet"/>
        <w:spacing w:after="60"/>
        <w:jc w:val="both"/>
      </w:pPr>
      <w:r>
        <w:rPr>
          <w:b/>
        </w:rPr>
        <w:t xml:space="preserve">R18. Partilha da lista de alojamentos: </w:t>
      </w:r>
      <w:r>
        <w:rPr>
          <w:sz w:val="21"/>
        </w:rPr>
        <w:t>com os serviços municipais de proteção civil.</w:t>
      </w:r>
    </w:p>
    <w:p>
      <w:pPr>
        <w:pStyle w:val="ListBullet"/>
        <w:spacing w:after="60"/>
        <w:jc w:val="both"/>
      </w:pPr>
      <w:r>
        <w:rPr>
          <w:b/>
        </w:rPr>
        <w:t xml:space="preserve">R19. Orientação técnica sobre eutanásia no terreno. </w:t>
      </w:r>
      <w:r>
        <w:rPr>
          <w:sz w:val="21"/>
        </w:rPr>
      </w:r>
    </w:p>
    <w:p>
      <w:pPr>
        <w:pStyle w:val="ListBullet"/>
        <w:spacing w:after="60"/>
        <w:jc w:val="both"/>
      </w:pPr>
      <w:r>
        <w:rPr>
          <w:b/>
        </w:rPr>
        <w:t xml:space="preserve">R20. Protocolo com a OMV: </w:t>
      </w:r>
      <w:r>
        <w:rPr>
          <w:sz w:val="21"/>
        </w:rPr>
        <w:t>para a bolsa de voluntários, com seguro e enquadramento sob o COS.</w:t>
      </w:r>
    </w:p>
    <w:p>
      <w:pPr>
        <w:pStyle w:val="ListBullet"/>
        <w:spacing w:after="60"/>
        <w:jc w:val="both"/>
      </w:pPr>
      <w:r>
        <w:rPr>
          <w:b/>
        </w:rPr>
        <w:t xml:space="preserve">R21. Cláusula de passagem do socorro à retirada. </w:t>
      </w:r>
      <w:r>
        <w:rPr>
          <w:sz w:val="21"/>
        </w:rPr>
      </w:r>
    </w:p>
    <w:p>
      <w:pPr>
        <w:pStyle w:val="ListBullet"/>
        <w:spacing w:after="60"/>
        <w:jc w:val="both"/>
      </w:pPr>
      <w:r>
        <w:rPr>
          <w:b/>
        </w:rPr>
        <w:t xml:space="preserve">R22. Levar ao RGAC as necessidades B1, B2, B4 e B6: </w:t>
      </w:r>
      <w:r>
        <w:rPr>
          <w:sz w:val="21"/>
        </w:rPr>
        <w:t>ver 6.1.</w:t>
      </w:r>
    </w:p>
    <w:p>
      <w:pPr>
        <w:keepNext/>
        <w:spacing w:before="360" w:after="120"/>
      </w:pPr>
      <w:r>
        <w:rPr>
          <w:b/>
          <w:color w:val="1F3B63"/>
          <w:sz w:val="27"/>
        </w:rPr>
        <w:t>6. Ligação ao projeto de RGAC e ao Regulamento (UE) 2026/1818</w:t>
      </w:r>
    </w:p>
    <w:p>
      <w:pPr>
        <w:keepNext/>
        <w:spacing w:before="240" w:after="80"/>
      </w:pPr>
      <w:r>
        <w:rPr>
          <w:b/>
          <w:color w:val="1F3B63"/>
          <w:sz w:val="23"/>
        </w:rPr>
        <w:t>6.1 O projeto de RGAC muda o modelo em que a proposta assenta</w:t>
      </w:r>
    </w:p>
    <w:p>
      <w:pPr>
        <w:spacing w:after="120"/>
      </w:pPr>
      <w:r>
        <w:rPr>
          <w:b w:val="0"/>
          <w:i w:val="0"/>
          <w:sz w:val="21"/>
        </w:rPr>
        <w:t>Descrição. O projeto de RGAC (projeto de RGAC, versão de trabalho (revisão formal DAJA V1, revista pelo grupo, 30.6.2026, 18h00). Proposta, não é legislação vigente) faz três escolhas relevantes:</w:t>
      </w:r>
    </w:p>
    <w:p>
      <w:pPr>
        <w:spacing w:after="40"/>
        <w:ind w:left="454" w:right="227"/>
      </w:pPr>
      <w:r>
        <w:rPr>
          <w:i/>
          <w:sz w:val="19"/>
        </w:rPr>
        <w:t>«5 - Quando esteja em causa a saúde e o bem-estar dos animais, as câmaras municipais, quando possível com a colaboração das autoridades policiais, devem proceder à recolha ou captura dos mesmos, podendo para o efeito solicitar a emissão de mandado judicial que lhes permita aceder aos locais onde estes se encontrem, designadamente, veículos, estabelecimentos, casas de habitação e terrenos privados.»</w:t>
      </w:r>
    </w:p>
    <w:p>
      <w:pPr>
        <w:spacing w:after="40"/>
        <w:ind w:left="454" w:right="227"/>
      </w:pPr>
      <w:r>
        <w:rPr>
          <w:i/>
          <w:sz w:val="19"/>
        </w:rPr>
        <w:t>[…]</w:t>
      </w:r>
    </w:p>
    <w:p>
      <w:pPr>
        <w:spacing w:after="40"/>
        <w:ind w:left="454" w:right="227"/>
      </w:pPr>
      <w:r>
        <w:rPr>
          <w:i/>
          <w:sz w:val="19"/>
        </w:rPr>
        <w:t>«8 - Os animais recolhidos nos termos dos n.ºs anteriores são alojados em centros de recolha, devendo o MVM ou médico-veterinário do município decidir o destino dos mesmos.»</w:t>
      </w:r>
    </w:p>
    <w:p>
      <w:pPr>
        <w:spacing w:after="160"/>
        <w:ind w:left="454"/>
      </w:pPr>
      <w:r>
        <w:rPr>
          <w:color w:val="555555"/>
          <w:sz w:val="17"/>
        </w:rPr>
        <w:t>n.ºs 5 e 8 do art.º 91.º do projeto de RGAC</w:t>
      </w:r>
    </w:p>
    <w:p>
      <w:pPr>
        <w:spacing w:after="40"/>
        <w:ind w:left="454" w:right="227"/>
      </w:pPr>
      <w:r>
        <w:rPr>
          <w:i/>
          <w:sz w:val="19"/>
        </w:rPr>
        <w:t>«8 - Sempre que o titular ou o detentor se recuse a assumir a qualidade de fiel depositário ou quando aquele seja desconhecido, a entidade apreensora pode diligenciar no sentido de encaminhar os animais para locais onde possa estar garantido o seu bem-estar, nomeadamente o retorno ao local de origem, ficando as despesas a cargo do detentor dos animais.»</w:t>
      </w:r>
    </w:p>
    <w:p>
      <w:pPr>
        <w:spacing w:after="160"/>
        <w:ind w:left="454"/>
      </w:pPr>
      <w:r>
        <w:rPr>
          <w:color w:val="555555"/>
          <w:sz w:val="17"/>
        </w:rPr>
        <w:t>n.º 8 do art.º 139.º do projeto de RGAC</w:t>
      </w:r>
    </w:p>
    <w:p>
      <w:pPr>
        <w:spacing w:after="40"/>
        <w:ind w:left="454" w:right="227"/>
      </w:pPr>
      <w:r>
        <w:rPr>
          <w:i/>
          <w:sz w:val="19"/>
        </w:rPr>
        <w:t>«13 - Os animais acolhidos pelos CRO que não sejam reclamados pelos seus no prazo de quinze dias, a contar da data da sua recolha, presumem-se abandonados e são obrigatoriamente esterilizados e encaminhados para adoção, sem direito a compensação financeira dos que venham a identificar-se como tal após o prazo previsto no artigo XX.»</w:t>
      </w:r>
    </w:p>
    <w:p>
      <w:pPr>
        <w:spacing w:after="160"/>
        <w:ind w:left="454"/>
      </w:pPr>
      <w:r>
        <w:rPr>
          <w:color w:val="555555"/>
          <w:sz w:val="17"/>
        </w:rPr>
        <w:t>n.º 13 do art.º 98.º do projeto de RGAC</w:t>
      </w:r>
    </w:p>
    <w:p>
      <w:pPr>
        <w:spacing w:after="120"/>
      </w:pPr>
      <w:r>
        <w:rPr>
          <w:b/>
          <w:color w:val="1F3B63"/>
        </w:rPr>
        <w:t xml:space="preserve">Apreciação. </w:t>
      </w:r>
      <w:r>
        <w:t>O projeto passa a recolha por bem-estar da DGAV para as câmaras e a decisão de destino da DGAV para o médico veterinário municipal. A proposta OMV/ANVETEM assenta no modelo vigente, com a DGAV a decidir. Se o RGAC for aprovado assim, o procedimento terá de ser refeito. O art.º 139.º regula a apreensão só para contraordenações, sem articulação com o CPP nem com o RJCE, e admite o «retorno ao local de origem», que em maus-tratos é o pior destino possível. O art.º 98.º, n.º 13 mantém a presunção de 15 dias sem ressalva para animais apreendidos ou socorridos. O projeto não tem norma sobre emergências nem refere a Lei n.º 38/2026. A DGAV tem vantagem em fazer convergir agora as duas peças: o procedimento e o RGAC. Estes pontos foram registados no memorando de acompanhamento do RGAC.</w:t>
      </w:r>
    </w:p>
    <w:p>
      <w:pPr>
        <w:keepNext/>
        <w:spacing w:before="240" w:after="80"/>
      </w:pPr>
      <w:r>
        <w:rPr>
          <w:b/>
          <w:color w:val="1F3B63"/>
          <w:sz w:val="23"/>
        </w:rPr>
        <w:t>6.2 O Regulamento (UE) 2026/1818</w:t>
      </w:r>
    </w:p>
    <w:p>
      <w:pPr>
        <w:spacing w:after="120"/>
      </w:pPr>
      <w:r>
        <w:rPr>
          <w:b w:val="0"/>
          <w:i w:val="0"/>
          <w:sz w:val="21"/>
        </w:rPr>
        <w:t>Descrição. O Regulamento, aplicável em regra a partir de 31.8.2028 (art.º 33.º), define abrigo assim:</w:t>
      </w:r>
    </w:p>
    <w:p>
      <w:pPr>
        <w:spacing w:after="40"/>
        <w:ind w:left="454" w:right="227"/>
      </w:pPr>
      <w:r>
        <w:rPr>
          <w:i/>
          <w:sz w:val="19"/>
        </w:rPr>
        <w:t>«(r) ‘shelter’ means any premises or structure, including households, where unwanted, abandoned, lost, confiscated or formerly stray dogs or cats are kept for the purpose of placing on the market;»</w:t>
      </w:r>
    </w:p>
    <w:p>
      <w:pPr>
        <w:spacing w:after="160"/>
        <w:ind w:left="454"/>
      </w:pPr>
      <w:r>
        <w:rPr>
          <w:color w:val="555555"/>
          <w:sz w:val="17"/>
        </w:rPr>
        <w:t>art.º 4.º, al. r) do Regulamento (UE) 2026/1818 (EN, JO L de 10.8.2026)</w:t>
      </w:r>
    </w:p>
    <w:p>
      <w:pPr>
        <w:spacing w:after="40"/>
        <w:ind w:left="454" w:right="227"/>
      </w:pPr>
      <w:r>
        <w:rPr>
          <w:i/>
          <w:sz w:val="19"/>
        </w:rPr>
        <w:t>«r) «Abrigo», qualquer instalação ou estrutura, incluindo as casas particulares, onde são detidos cães ou gatos não desejados, abandonados, perdidos, confiscados ou anteriormente errantes, para efeitos de colocação no mercado;»</w:t>
      </w:r>
    </w:p>
    <w:p>
      <w:pPr>
        <w:spacing w:after="160"/>
        <w:ind w:left="454"/>
      </w:pPr>
      <w:r>
        <w:rPr>
          <w:color w:val="555555"/>
          <w:sz w:val="17"/>
        </w:rPr>
        <w:t>art.º 4.º, al. r) do Regulamento (UE) 2026/1818 (PT, JO L de 10.8.2026)</w:t>
      </w:r>
    </w:p>
    <w:p>
      <w:pPr>
        <w:spacing w:after="120"/>
      </w:pPr>
      <w:r>
        <w:rPr>
          <w:b/>
          <w:color w:val="1F3B63"/>
        </w:rPr>
        <w:t xml:space="preserve">Apreciação. </w:t>
      </w:r>
      <w:r>
        <w:t>A partir de 2028, as entidades que recebam animais confiscados para os encaminhar para adoção serão operadores de abrigos, com registo e obrigações próprias, e os controlos nos estabelecimentos passam a ser controlos oficiais nos termos do Regulamento (UE) 2017/625. A bolsa de entidades do âmbito A deve ser desenhada desde já sobre o registo de estabelecimentos, para não ter de ser refeita. O Regulamento não trata de emergências nem de apreensões: o âmbito B e a parte penal do âmbito A continuam a ser matéria nacional.</w:t>
      </w:r>
    </w:p>
    <w:p>
      <w:pPr>
        <w:keepNext/>
        <w:spacing w:before="360" w:after="120"/>
      </w:pPr>
      <w:r>
        <w:rPr>
          <w:b/>
          <w:color w:val="1F3B63"/>
          <w:sz w:val="27"/>
        </w:rPr>
        <w:t>7. Proposta de reorganização do texto e próximos passos</w:t>
      </w:r>
    </w:p>
    <w:p>
      <w:pPr>
        <w:keepNext/>
        <w:spacing w:before="240" w:after="80"/>
      </w:pPr>
      <w:r>
        <w:rPr>
          <w:b/>
          <w:color w:val="1F3B63"/>
          <w:sz w:val="23"/>
        </w:rPr>
        <w:t>7.1 Estrutura sugerida</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spacing w:after="40"/>
            </w:pPr>
            <w:r/>
            <w:r>
              <w:rPr>
                <w:b/>
                <w:color w:val="1F3B63"/>
                <w:sz w:val="18"/>
              </w:rPr>
              <w:t>Parte</w:t>
            </w:r>
          </w:p>
        </w:tc>
        <w:tc>
          <w:tcPr>
            <w:tcW w:type="dxa" w:w="4819"/>
          </w:tcPr>
          <w:p>
            <w:pPr>
              <w:spacing w:after="40"/>
            </w:pPr>
            <w:r/>
            <w:r>
              <w:rPr>
                <w:b/>
                <w:color w:val="1F3B63"/>
                <w:sz w:val="18"/>
              </w:rPr>
              <w:t>Conteúdo</w:t>
            </w:r>
          </w:p>
        </w:tc>
        <w:tc>
          <w:tcPr>
            <w:tcW w:type="dxa" w:w="2551"/>
          </w:tcPr>
          <w:p>
            <w:pPr>
              <w:spacing w:after="40"/>
            </w:pPr>
            <w:r/>
            <w:r>
              <w:rPr>
                <w:b/>
                <w:color w:val="1F3B63"/>
                <w:sz w:val="18"/>
              </w:rPr>
              <w:t>Origem</w:t>
            </w:r>
          </w:p>
        </w:tc>
      </w:tr>
      <w:tr>
        <w:tc>
          <w:tcPr>
            <w:tcW w:type="dxa" w:w="1701"/>
          </w:tcPr>
          <w:p>
            <w:pPr>
              <w:spacing w:after="40"/>
              <w:jc w:val="left"/>
            </w:pPr>
            <w:r/>
            <w:r>
              <w:rPr>
                <w:sz w:val="17"/>
              </w:rPr>
              <w:t>Tronco comum</w:t>
            </w:r>
          </w:p>
        </w:tc>
        <w:tc>
          <w:tcPr>
            <w:tcW w:type="dxa" w:w="4819"/>
          </w:tcPr>
          <w:p>
            <w:pPr>
              <w:spacing w:after="40"/>
              <w:jc w:val="left"/>
            </w:pPr>
            <w:r/>
            <w:r>
              <w:rPr>
                <w:sz w:val="17"/>
              </w:rPr>
              <w:t>Princípios; definições; registo e ficha individual; cadeia de custódia; biossegurança; relatório; cláusula de salvaguarda; proporcionalidade.</w:t>
            </w:r>
          </w:p>
        </w:tc>
        <w:tc>
          <w:tcPr>
            <w:tcW w:type="dxa" w:w="2551"/>
          </w:tcPr>
          <w:p>
            <w:pPr>
              <w:spacing w:after="40"/>
              <w:jc w:val="left"/>
            </w:pPr>
            <w:r/>
            <w:r>
              <w:rPr>
                <w:sz w:val="17"/>
              </w:rPr>
              <w:t>Pontos 2, 5.3, 6.4, 6.9, 7.8, 10 da proposta</w:t>
            </w:r>
          </w:p>
        </w:tc>
      </w:tr>
      <w:tr>
        <w:tc>
          <w:tcPr>
            <w:tcW w:type="dxa" w:w="1701"/>
          </w:tcPr>
          <w:p>
            <w:pPr>
              <w:spacing w:after="40"/>
              <w:jc w:val="left"/>
            </w:pPr>
            <w:r/>
            <w:r>
              <w:rPr>
                <w:sz w:val="17"/>
              </w:rPr>
              <w:t>Módulo A (companhia)</w:t>
            </w:r>
          </w:p>
        </w:tc>
        <w:tc>
          <w:tcPr>
            <w:tcW w:type="dxa" w:w="4819"/>
          </w:tcPr>
          <w:p>
            <w:pPr>
              <w:spacing w:after="40"/>
              <w:jc w:val="left"/>
            </w:pPr>
            <w:r/>
            <w:r>
              <w:rPr>
                <w:sz w:val="17"/>
              </w:rPr>
              <w:t>Matriz de vias legais (liderança e destino); apreensão com permanência no local; cedência voluntária; eutanásia; SIAC; acumulação; encargos; comunicação por termo de compromisso.</w:t>
            </w:r>
          </w:p>
        </w:tc>
        <w:tc>
          <w:tcPr>
            <w:tcW w:type="dxa" w:w="2551"/>
          </w:tcPr>
          <w:p>
            <w:pPr>
              <w:spacing w:after="40"/>
              <w:jc w:val="left"/>
            </w:pPr>
            <w:r/>
            <w:r>
              <w:rPr>
                <w:sz w:val="17"/>
              </w:rPr>
              <w:t>Pontos 3 a 9, reescritos</w:t>
            </w:r>
          </w:p>
        </w:tc>
      </w:tr>
      <w:tr>
        <w:tc>
          <w:tcPr>
            <w:tcW w:type="dxa" w:w="1701"/>
          </w:tcPr>
          <w:p>
            <w:pPr>
              <w:spacing w:after="40"/>
              <w:jc w:val="left"/>
            </w:pPr>
            <w:r/>
            <w:r>
              <w:rPr>
                <w:sz w:val="17"/>
              </w:rPr>
              <w:t>Módulo B (socorro)</w:t>
            </w:r>
          </w:p>
        </w:tc>
        <w:tc>
          <w:tcPr>
            <w:tcW w:type="dxa" w:w="4819"/>
          </w:tcPr>
          <w:p>
            <w:pPr>
              <w:spacing w:after="40"/>
              <w:jc w:val="left"/>
            </w:pPr>
            <w:r/>
            <w:r>
              <w:rPr>
                <w:sz w:val="17"/>
              </w:rPr>
              <w:t>Integração no SIOPS; representação da DGAV; critérios técnicos para os planos municipais; reunificação; eutanásia no terreno; voluntários; passagem para o módulo A.</w:t>
            </w:r>
          </w:p>
        </w:tc>
        <w:tc>
          <w:tcPr>
            <w:tcW w:type="dxa" w:w="2551"/>
          </w:tcPr>
          <w:p>
            <w:pPr>
              <w:spacing w:after="40"/>
              <w:jc w:val="left"/>
            </w:pPr>
            <w:r/>
            <w:r>
              <w:rPr>
                <w:sz w:val="17"/>
              </w:rPr>
              <w:t>Pontos 3.3, 3.4, 9.1 e 11, reescritos</w:t>
            </w:r>
          </w:p>
        </w:tc>
      </w:tr>
      <w:tr>
        <w:tc>
          <w:tcPr>
            <w:tcW w:type="dxa" w:w="1701"/>
          </w:tcPr>
          <w:p>
            <w:pPr>
              <w:spacing w:after="40"/>
              <w:jc w:val="left"/>
            </w:pPr>
            <w:r/>
            <w:r>
              <w:rPr>
                <w:sz w:val="17"/>
              </w:rPr>
              <w:t>Módulos pecuários</w:t>
            </w:r>
          </w:p>
        </w:tc>
        <w:tc>
          <w:tcPr>
            <w:tcW w:type="dxa" w:w="4819"/>
          </w:tcPr>
          <w:p>
            <w:pPr>
              <w:spacing w:after="40"/>
              <w:jc w:val="left"/>
            </w:pPr>
            <w:r/>
            <w:r>
              <w:rPr>
                <w:sz w:val="17"/>
              </w:rPr>
              <w:t>Sequestro sanitário, registo de lote, SNIRA, occisão, cadeia alimentar.</w:t>
            </w:r>
          </w:p>
        </w:tc>
        <w:tc>
          <w:tcPr>
            <w:tcW w:type="dxa" w:w="2551"/>
          </w:tcPr>
          <w:p>
            <w:pPr>
              <w:spacing w:after="40"/>
              <w:jc w:val="left"/>
            </w:pPr>
            <w:r/>
            <w:r>
              <w:rPr>
                <w:sz w:val="17"/>
              </w:rPr>
              <w:t>Tipologias B e C da proposta</w:t>
            </w:r>
          </w:p>
        </w:tc>
      </w:tr>
      <w:tr>
        <w:tc>
          <w:tcPr>
            <w:tcW w:type="dxa" w:w="1701"/>
          </w:tcPr>
          <w:p>
            <w:pPr>
              <w:spacing w:after="40"/>
              <w:jc w:val="left"/>
            </w:pPr>
            <w:r/>
            <w:r>
              <w:rPr>
                <w:sz w:val="17"/>
              </w:rPr>
              <w:t>Modelos</w:t>
            </w:r>
          </w:p>
        </w:tc>
        <w:tc>
          <w:tcPr>
            <w:tcW w:type="dxa" w:w="4819"/>
          </w:tcPr>
          <w:p>
            <w:pPr>
              <w:spacing w:after="40"/>
              <w:jc w:val="left"/>
            </w:pPr>
            <w:r/>
            <w:r>
              <w:rPr>
                <w:sz w:val="17"/>
              </w:rPr>
              <w:t>Os seis do Anexo I, mais: auto de apreensão com permanência no local; termo de cedência voluntária; registo de animal acolhido em emergência.</w:t>
            </w:r>
          </w:p>
        </w:tc>
        <w:tc>
          <w:tcPr>
            <w:tcW w:type="dxa" w:w="2551"/>
          </w:tcPr>
          <w:p>
            <w:pPr>
              <w:spacing w:after="40"/>
              <w:jc w:val="left"/>
            </w:pPr>
            <w:r/>
            <w:r>
              <w:rPr>
                <w:sz w:val="17"/>
              </w:rPr>
              <w:t>Anexo I</w:t>
            </w:r>
          </w:p>
        </w:tc>
      </w:tr>
      <w:tr>
        <w:tc>
          <w:tcPr>
            <w:tcW w:type="dxa" w:w="1701"/>
          </w:tcPr>
          <w:p>
            <w:pPr>
              <w:spacing w:after="40"/>
              <w:jc w:val="left"/>
            </w:pPr>
            <w:r/>
            <w:r>
              <w:rPr>
                <w:sz w:val="17"/>
              </w:rPr>
              <w:t>Instrumentos de adoção</w:t>
            </w:r>
          </w:p>
        </w:tc>
        <w:tc>
          <w:tcPr>
            <w:tcW w:type="dxa" w:w="4819"/>
          </w:tcPr>
          <w:p>
            <w:pPr>
              <w:spacing w:after="40"/>
              <w:jc w:val="left"/>
            </w:pPr>
            <w:r/>
            <w:r>
              <w:rPr>
                <w:sz w:val="17"/>
              </w:rPr>
              <w:t>Despacho do diretor-geral (serviços DGAV); protocolo com ANMP, OMV e ANVETEM (e forças de segurança); termo de compromisso das entidades.</w:t>
            </w:r>
          </w:p>
        </w:tc>
        <w:tc>
          <w:tcPr>
            <w:tcW w:type="dxa" w:w="2551"/>
          </w:tcPr>
          <w:p>
            <w:pPr>
              <w:spacing w:after="40"/>
              <w:jc w:val="left"/>
            </w:pPr>
            <w:r/>
            <w:r>
              <w:rPr>
                <w:sz w:val="17"/>
              </w:rPr>
              <w:t>Ponto 3.1 desta análise</w:t>
            </w:r>
          </w:p>
        </w:tc>
      </w:tr>
    </w:tbl>
    <w:p>
      <w:pPr>
        <w:spacing w:after="80"/>
      </w:pPr>
    </w:p>
    <w:p>
      <w:pPr>
        <w:keepNext/>
        <w:spacing w:before="240" w:after="80"/>
      </w:pPr>
      <w:r>
        <w:rPr>
          <w:b/>
          <w:color w:val="1F3B63"/>
          <w:sz w:val="23"/>
        </w:rPr>
        <w:t>7.2 Próximos passos</w:t>
      </w:r>
    </w:p>
    <w:p>
      <w:pPr>
        <w:pStyle w:val="ListBullet"/>
        <w:spacing w:after="60"/>
        <w:jc w:val="both"/>
      </w:pPr>
      <w:r>
        <w:rPr>
          <w:sz w:val="21"/>
        </w:rPr>
        <w:t>Resposta da DGAV à OMV e à ANVETEM, a aceitar o grupo de trabalho e a apresentar a estrutura de 7.1 e as recomendações R1 a R22 como base de revisão.</w:t>
      </w:r>
    </w:p>
    <w:p>
      <w:pPr>
        <w:pStyle w:val="ListBullet"/>
        <w:spacing w:after="60"/>
        <w:jc w:val="both"/>
      </w:pPr>
      <w:r>
        <w:rPr>
          <w:sz w:val="21"/>
        </w:rPr>
        <w:t>Designação, em despacho autónomo e sem esperar pelo grupo de trabalho, dos representantes da DGAV previstos na Lei n.º 38/2026 (R15).</w:t>
      </w:r>
    </w:p>
    <w:p>
      <w:pPr>
        <w:pStyle w:val="ListBullet"/>
        <w:spacing w:after="60"/>
        <w:jc w:val="both"/>
      </w:pPr>
      <w:r>
        <w:rPr>
          <w:sz w:val="21"/>
        </w:rPr>
        <w:t>Medidas imediatas que dependem só da DGAV: estado «sob apreensão ou custódia» no SIAC (R8); orientação sobre a presunção de 15 dias (R9); partilha da lista de alojamentos com a proteção civil (R18).</w:t>
      </w:r>
    </w:p>
    <w:p>
      <w:pPr>
        <w:pStyle w:val="ListBullet"/>
        <w:spacing w:after="60"/>
        <w:jc w:val="both"/>
      </w:pPr>
      <w:r>
        <w:rPr>
          <w:sz w:val="21"/>
        </w:rPr>
        <w:t>Levar as necessidades A1 a A8 e B1 a B6 à revisão do RGAC.</w:t>
      </w:r>
    </w:p>
    <w:p>
      <w:pPr>
        <w:keepNext/>
        <w:spacing w:before="360" w:after="120"/>
      </w:pPr>
      <w:r>
        <w:rPr>
          <w:b/>
          <w:color w:val="1F3B63"/>
          <w:sz w:val="27"/>
        </w:rPr>
        <w:t>Anexo I. Quadro ponto a ponto (animais de companhia)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20"/>
          </w:tcPr>
          <w:p>
            <w:pPr>
              <w:spacing w:after="40"/>
            </w:pPr>
            <w:r/>
            <w:r>
              <w:rPr>
                <w:b/>
                <w:color w:val="1F3B63"/>
                <w:sz w:val="17"/>
              </w:rPr>
              <w:t>Ponto</w:t>
            </w:r>
          </w:p>
        </w:tc>
        <w:tc>
          <w:tcPr>
            <w:tcW w:type="dxa" w:w="2381"/>
          </w:tcPr>
          <w:p>
            <w:pPr>
              <w:spacing w:after="40"/>
            </w:pPr>
            <w:r/>
            <w:r>
              <w:rPr>
                <w:b/>
                <w:color w:val="1F3B63"/>
                <w:sz w:val="17"/>
              </w:rPr>
              <w:t>Síntese do ponto</w:t>
            </w:r>
          </w:p>
        </w:tc>
        <w:tc>
          <w:tcPr>
            <w:tcW w:type="dxa" w:w="2608"/>
          </w:tcPr>
          <w:p>
            <w:pPr>
              <w:spacing w:after="40"/>
            </w:pPr>
            <w:r/>
            <w:r>
              <w:rPr>
                <w:b/>
                <w:color w:val="1F3B63"/>
                <w:sz w:val="17"/>
              </w:rPr>
              <w:t>Apreciação</w:t>
            </w:r>
          </w:p>
        </w:tc>
        <w:tc>
          <w:tcPr>
            <w:tcW w:type="dxa" w:w="3061"/>
          </w:tcPr>
          <w:p>
            <w:pPr>
              <w:spacing w:after="40"/>
            </w:pPr>
            <w:r/>
            <w:r>
              <w:rPr>
                <w:b/>
                <w:color w:val="1F3B63"/>
                <w:sz w:val="17"/>
              </w:rPr>
              <w:t>Proposta</w:t>
            </w:r>
          </w:p>
        </w:tc>
      </w:tr>
      <w:tr>
        <w:tc>
          <w:tcPr>
            <w:tcW w:type="dxa" w:w="1020"/>
          </w:tcPr>
          <w:p>
            <w:pPr>
              <w:spacing w:after="40"/>
              <w:jc w:val="left"/>
            </w:pPr>
            <w:r/>
            <w:r>
              <w:rPr>
                <w:sz w:val="16"/>
              </w:rPr>
              <w:t>Princípio 1 e 4.2</w:t>
            </w:r>
          </w:p>
        </w:tc>
        <w:tc>
          <w:tcPr>
            <w:tcW w:type="dxa" w:w="2381"/>
          </w:tcPr>
          <w:p>
            <w:pPr>
              <w:spacing w:after="40"/>
              <w:jc w:val="left"/>
            </w:pPr>
            <w:r/>
            <w:r>
              <w:rPr>
                <w:sz w:val="16"/>
              </w:rPr>
              <w:t>Comando único da autoridade veterinária.</w:t>
            </w:r>
          </w:p>
        </w:tc>
        <w:tc>
          <w:tcPr>
            <w:tcW w:type="dxa" w:w="2608"/>
          </w:tcPr>
          <w:p>
            <w:pPr>
              <w:spacing w:after="40"/>
              <w:jc w:val="left"/>
            </w:pPr>
            <w:r/>
            <w:r>
              <w:rPr>
                <w:sz w:val="16"/>
              </w:rPr>
              <w:t>Sem título legal no processo penal, no DL 314/2003 e no socorro.</w:t>
            </w:r>
          </w:p>
        </w:tc>
        <w:tc>
          <w:tcPr>
            <w:tcW w:type="dxa" w:w="3061"/>
          </w:tcPr>
          <w:p>
            <w:pPr>
              <w:spacing w:after="40"/>
              <w:jc w:val="left"/>
            </w:pPr>
            <w:r/>
            <w:r>
              <w:rPr>
                <w:sz w:val="16"/>
              </w:rPr>
              <w:t>Matriz por via; direção técnico-veterinária sempre da DGAV.</w:t>
            </w:r>
          </w:p>
        </w:tc>
      </w:tr>
      <w:tr>
        <w:tc>
          <w:tcPr>
            <w:tcW w:type="dxa" w:w="1020"/>
          </w:tcPr>
          <w:p>
            <w:pPr>
              <w:spacing w:after="40"/>
              <w:jc w:val="left"/>
            </w:pPr>
            <w:r/>
            <w:r>
              <w:rPr>
                <w:sz w:val="16"/>
              </w:rPr>
              <w:t>1.2</w:t>
            </w:r>
          </w:p>
        </w:tc>
        <w:tc>
          <w:tcPr>
            <w:tcW w:type="dxa" w:w="2381"/>
          </w:tcPr>
          <w:p>
            <w:pPr>
              <w:spacing w:after="40"/>
              <w:jc w:val="left"/>
            </w:pPr>
            <w:r/>
            <w:r>
              <w:rPr>
                <w:sz w:val="16"/>
              </w:rPr>
              <w:t>Aplica-se a todas as operações com serviços da DGAV.</w:t>
            </w:r>
          </w:p>
        </w:tc>
        <w:tc>
          <w:tcPr>
            <w:tcW w:type="dxa" w:w="2608"/>
          </w:tcPr>
          <w:p>
            <w:pPr>
              <w:spacing w:after="40"/>
              <w:jc w:val="left"/>
            </w:pPr>
            <w:r/>
            <w:r>
              <w:rPr>
                <w:sz w:val="16"/>
              </w:rPr>
              <w:t>Excessivo.</w:t>
            </w:r>
          </w:p>
        </w:tc>
        <w:tc>
          <w:tcPr>
            <w:tcW w:type="dxa" w:w="3061"/>
          </w:tcPr>
          <w:p>
            <w:pPr>
              <w:spacing w:after="40"/>
              <w:jc w:val="left"/>
            </w:pPr>
            <w:r/>
            <w:r>
              <w:rPr>
                <w:sz w:val="16"/>
              </w:rPr>
              <w:t>Aplicar às operações de que a DGAV é titular; nas restantes, como referência técnica.</w:t>
            </w:r>
          </w:p>
        </w:tc>
      </w:tr>
      <w:tr>
        <w:tc>
          <w:tcPr>
            <w:tcW w:type="dxa" w:w="1020"/>
          </w:tcPr>
          <w:p>
            <w:pPr>
              <w:spacing w:after="40"/>
              <w:jc w:val="left"/>
            </w:pPr>
            <w:r/>
            <w:r>
              <w:rPr>
                <w:sz w:val="16"/>
              </w:rPr>
              <w:t>1.4</w:t>
            </w:r>
          </w:p>
        </w:tc>
        <w:tc>
          <w:tcPr>
            <w:tcW w:type="dxa" w:w="2381"/>
          </w:tcPr>
          <w:p>
            <w:pPr>
              <w:spacing w:after="40"/>
              <w:jc w:val="left"/>
            </w:pPr>
            <w:r/>
            <w:r>
              <w:rPr>
                <w:sz w:val="16"/>
              </w:rPr>
              <w:t>Processo penal: aplicação subsidiária.</w:t>
            </w:r>
          </w:p>
        </w:tc>
        <w:tc>
          <w:tcPr>
            <w:tcW w:type="dxa" w:w="2608"/>
          </w:tcPr>
          <w:p>
            <w:pPr>
              <w:spacing w:after="40"/>
              <w:jc w:val="left"/>
            </w:pPr>
            <w:r/>
            <w:r>
              <w:rPr>
                <w:sz w:val="16"/>
              </w:rPr>
              <w:t>Correto, mas a via penal é a regra em maus-tratos.</w:t>
            </w:r>
          </w:p>
        </w:tc>
        <w:tc>
          <w:tcPr>
            <w:tcW w:type="dxa" w:w="3061"/>
          </w:tcPr>
          <w:p>
            <w:pPr>
              <w:spacing w:after="40"/>
              <w:jc w:val="left"/>
            </w:pPr>
            <w:r/>
            <w:r>
              <w:rPr>
                <w:sz w:val="16"/>
              </w:rPr>
              <w:t>Submódulo penal próprio.</w:t>
            </w:r>
          </w:p>
        </w:tc>
      </w:tr>
      <w:tr>
        <w:tc>
          <w:tcPr>
            <w:tcW w:type="dxa" w:w="1020"/>
          </w:tcPr>
          <w:p>
            <w:pPr>
              <w:spacing w:after="40"/>
              <w:jc w:val="left"/>
            </w:pPr>
            <w:r/>
            <w:r>
              <w:rPr>
                <w:sz w:val="16"/>
              </w:rPr>
              <w:t>3.1 a 3.2</w:t>
            </w:r>
          </w:p>
        </w:tc>
        <w:tc>
          <w:tcPr>
            <w:tcW w:type="dxa" w:w="2381"/>
          </w:tcPr>
          <w:p>
            <w:pPr>
              <w:spacing w:after="40"/>
              <w:jc w:val="left"/>
            </w:pPr>
            <w:r/>
            <w:r>
              <w:rPr>
                <w:sz w:val="16"/>
              </w:rPr>
              <w:t>Planeamento obrigatório.</w:t>
            </w:r>
          </w:p>
        </w:tc>
        <w:tc>
          <w:tcPr>
            <w:tcW w:type="dxa" w:w="2608"/>
          </w:tcPr>
          <w:p>
            <w:pPr>
              <w:spacing w:after="40"/>
              <w:jc w:val="left"/>
            </w:pPr>
            <w:r/>
            <w:r>
              <w:rPr>
                <w:sz w:val="16"/>
              </w:rPr>
              <w:t>Bom.</w:t>
            </w:r>
          </w:p>
        </w:tc>
        <w:tc>
          <w:tcPr>
            <w:tcW w:type="dxa" w:w="3061"/>
          </w:tcPr>
          <w:p>
            <w:pPr>
              <w:spacing w:after="40"/>
              <w:jc w:val="left"/>
            </w:pPr>
            <w:r/>
            <w:r>
              <w:rPr>
                <w:sz w:val="16"/>
              </w:rPr>
              <w:t>Manter; via urgente simplificada.</w:t>
            </w:r>
          </w:p>
        </w:tc>
      </w:tr>
      <w:tr>
        <w:tc>
          <w:tcPr>
            <w:tcW w:type="dxa" w:w="1020"/>
          </w:tcPr>
          <w:p>
            <w:pPr>
              <w:spacing w:after="40"/>
              <w:jc w:val="left"/>
            </w:pPr>
            <w:r/>
            <w:r>
              <w:rPr>
                <w:sz w:val="16"/>
              </w:rPr>
              <w:t>3.3 a 3.6</w:t>
            </w:r>
          </w:p>
        </w:tc>
        <w:tc>
          <w:tcPr>
            <w:tcW w:type="dxa" w:w="2381"/>
          </w:tcPr>
          <w:p>
            <w:pPr>
              <w:spacing w:after="40"/>
              <w:jc w:val="left"/>
            </w:pPr>
            <w:r/>
            <w:r>
              <w:rPr>
                <w:sz w:val="16"/>
              </w:rPr>
              <w:t>Planos-tipo, simulacros anuais, inventário.</w:t>
            </w:r>
          </w:p>
        </w:tc>
        <w:tc>
          <w:tcPr>
            <w:tcW w:type="dxa" w:w="2608"/>
          </w:tcPr>
          <w:p>
            <w:pPr>
              <w:spacing w:after="40"/>
              <w:jc w:val="left"/>
            </w:pPr>
            <w:r/>
            <w:r>
              <w:rPr>
                <w:sz w:val="16"/>
              </w:rPr>
              <w:t>Pesado para a DGAV.</w:t>
            </w:r>
          </w:p>
        </w:tc>
        <w:tc>
          <w:tcPr>
            <w:tcW w:type="dxa" w:w="3061"/>
          </w:tcPr>
          <w:p>
            <w:pPr>
              <w:spacing w:after="40"/>
              <w:jc w:val="left"/>
            </w:pPr>
            <w:r/>
            <w:r>
              <w:rPr>
                <w:sz w:val="16"/>
              </w:rPr>
              <w:t>Proporcionalidade; usar relatórios dos CRO.</w:t>
            </w:r>
          </w:p>
        </w:tc>
      </w:tr>
      <w:tr>
        <w:tc>
          <w:tcPr>
            <w:tcW w:type="dxa" w:w="1020"/>
          </w:tcPr>
          <w:p>
            <w:pPr>
              <w:spacing w:after="40"/>
              <w:jc w:val="left"/>
            </w:pPr>
            <w:r/>
            <w:r>
              <w:rPr>
                <w:sz w:val="16"/>
              </w:rPr>
              <w:t>4.1</w:t>
            </w:r>
          </w:p>
        </w:tc>
        <w:tc>
          <w:tcPr>
            <w:tcW w:type="dxa" w:w="2381"/>
          </w:tcPr>
          <w:p>
            <w:pPr>
              <w:spacing w:after="40"/>
              <w:jc w:val="left"/>
            </w:pPr>
            <w:r/>
            <w:r>
              <w:rPr>
                <w:sz w:val="16"/>
              </w:rPr>
              <w:t>Nenhuma operação sem documento escrito.</w:t>
            </w:r>
          </w:p>
        </w:tc>
        <w:tc>
          <w:tcPr>
            <w:tcW w:type="dxa" w:w="2608"/>
          </w:tcPr>
          <w:p>
            <w:pPr>
              <w:spacing w:after="40"/>
              <w:jc w:val="left"/>
            </w:pPr>
            <w:r/>
            <w:r>
              <w:rPr>
                <w:sz w:val="16"/>
              </w:rPr>
              <w:t>Bom para operações planeadas.</w:t>
            </w:r>
          </w:p>
        </w:tc>
        <w:tc>
          <w:tcPr>
            <w:tcW w:type="dxa" w:w="3061"/>
          </w:tcPr>
          <w:p>
            <w:pPr>
              <w:spacing w:after="40"/>
              <w:jc w:val="left"/>
            </w:pPr>
            <w:r/>
            <w:r>
              <w:rPr>
                <w:sz w:val="16"/>
              </w:rPr>
              <w:t>Cláusula de salvaguarda.</w:t>
            </w:r>
          </w:p>
        </w:tc>
      </w:tr>
      <w:tr>
        <w:tc>
          <w:tcPr>
            <w:tcW w:type="dxa" w:w="1020"/>
          </w:tcPr>
          <w:p>
            <w:pPr>
              <w:spacing w:after="40"/>
              <w:jc w:val="left"/>
            </w:pPr>
            <w:r/>
            <w:r>
              <w:rPr>
                <w:sz w:val="16"/>
              </w:rPr>
              <w:t>4.5</w:t>
            </w:r>
          </w:p>
        </w:tc>
        <w:tc>
          <w:tcPr>
            <w:tcW w:type="dxa" w:w="2381"/>
          </w:tcPr>
          <w:p>
            <w:pPr>
              <w:spacing w:after="40"/>
              <w:jc w:val="left"/>
            </w:pPr>
            <w:r/>
            <w:r>
              <w:rPr>
                <w:sz w:val="16"/>
              </w:rPr>
              <w:t>Mandado judicial (art.º 19.º, n.º 8).</w:t>
            </w:r>
          </w:p>
        </w:tc>
        <w:tc>
          <w:tcPr>
            <w:tcW w:type="dxa" w:w="2608"/>
          </w:tcPr>
          <w:p>
            <w:pPr>
              <w:spacing w:after="40"/>
              <w:jc w:val="left"/>
            </w:pPr>
            <w:r/>
            <w:r>
              <w:rPr>
                <w:sz w:val="16"/>
              </w:rPr>
              <w:t>Incompleto.</w:t>
            </w:r>
          </w:p>
        </w:tc>
        <w:tc>
          <w:tcPr>
            <w:tcW w:type="dxa" w:w="3061"/>
          </w:tcPr>
          <w:p>
            <w:pPr>
              <w:spacing w:after="40"/>
              <w:jc w:val="left"/>
            </w:pPr>
            <w:r/>
            <w:r>
              <w:rPr>
                <w:sz w:val="16"/>
              </w:rPr>
              <w:t>Juntar art.º 67.º-A, Lei 92/95, CPP.</w:t>
            </w:r>
          </w:p>
        </w:tc>
      </w:tr>
      <w:tr>
        <w:tc>
          <w:tcPr>
            <w:tcW w:type="dxa" w:w="1020"/>
          </w:tcPr>
          <w:p>
            <w:pPr>
              <w:spacing w:after="40"/>
              <w:jc w:val="left"/>
            </w:pPr>
            <w:r/>
            <w:r>
              <w:rPr>
                <w:sz w:val="16"/>
              </w:rPr>
              <w:t>5.1</w:t>
            </w:r>
          </w:p>
        </w:tc>
        <w:tc>
          <w:tcPr>
            <w:tcW w:type="dxa" w:w="2381"/>
          </w:tcPr>
          <w:p>
            <w:pPr>
              <w:spacing w:after="40"/>
              <w:jc w:val="left"/>
            </w:pPr>
            <w:r/>
            <w:r>
              <w:rPr>
                <w:sz w:val="16"/>
              </w:rPr>
              <w:t>Convocação do MVM com 48 h.</w:t>
            </w:r>
          </w:p>
        </w:tc>
        <w:tc>
          <w:tcPr>
            <w:tcW w:type="dxa" w:w="2608"/>
          </w:tcPr>
          <w:p>
            <w:pPr>
              <w:spacing w:after="40"/>
              <w:jc w:val="left"/>
            </w:pPr>
            <w:r/>
            <w:r>
              <w:rPr>
                <w:sz w:val="16"/>
              </w:rPr>
              <w:t>Com fundamento, mas prevalece o serviço municipal.</w:t>
            </w:r>
          </w:p>
        </w:tc>
        <w:tc>
          <w:tcPr>
            <w:tcW w:type="dxa" w:w="3061"/>
          </w:tcPr>
          <w:p>
            <w:pPr>
              <w:spacing w:after="40"/>
              <w:jc w:val="left"/>
            </w:pPr>
            <w:r/>
            <w:r>
              <w:rPr>
                <w:sz w:val="16"/>
              </w:rPr>
              <w:t>Convocar também o presidente da câmara; corrigir a nota sobre o DL 116/98.</w:t>
            </w:r>
          </w:p>
        </w:tc>
      </w:tr>
      <w:tr>
        <w:tc>
          <w:tcPr>
            <w:tcW w:type="dxa" w:w="1020"/>
          </w:tcPr>
          <w:p>
            <w:pPr>
              <w:spacing w:after="40"/>
              <w:jc w:val="left"/>
            </w:pPr>
            <w:r/>
            <w:r>
              <w:rPr>
                <w:sz w:val="16"/>
              </w:rPr>
              <w:t>5.2.2 e 5.2.4</w:t>
            </w:r>
          </w:p>
        </w:tc>
        <w:tc>
          <w:tcPr>
            <w:tcW w:type="dxa" w:w="2381"/>
          </w:tcPr>
          <w:p>
            <w:pPr>
              <w:spacing w:after="40"/>
              <w:jc w:val="left"/>
            </w:pPr>
            <w:r/>
            <w:r>
              <w:rPr>
                <w:sz w:val="16"/>
              </w:rPr>
              <w:t>Faseamento acima de 50 animais; observação individual.</w:t>
            </w:r>
          </w:p>
        </w:tc>
        <w:tc>
          <w:tcPr>
            <w:tcW w:type="dxa" w:w="2608"/>
          </w:tcPr>
          <w:p>
            <w:pPr>
              <w:spacing w:after="40"/>
              <w:jc w:val="left"/>
            </w:pPr>
            <w:r/>
            <w:r>
              <w:rPr>
                <w:sz w:val="16"/>
              </w:rPr>
              <w:t>Muito bom.</w:t>
            </w:r>
          </w:p>
        </w:tc>
        <w:tc>
          <w:tcPr>
            <w:tcW w:type="dxa" w:w="3061"/>
          </w:tcPr>
          <w:p>
            <w:pPr>
              <w:spacing w:after="40"/>
              <w:jc w:val="left"/>
            </w:pPr>
            <w:r/>
            <w:r>
              <w:rPr>
                <w:sz w:val="16"/>
              </w:rPr>
              <w:t>Juntar título para os animais que ficam (apreensão com fiel depositário).</w:t>
            </w:r>
          </w:p>
        </w:tc>
      </w:tr>
      <w:tr>
        <w:tc>
          <w:tcPr>
            <w:tcW w:type="dxa" w:w="1020"/>
          </w:tcPr>
          <w:p>
            <w:pPr>
              <w:spacing w:after="40"/>
              <w:jc w:val="left"/>
            </w:pPr>
            <w:r/>
            <w:r>
              <w:rPr>
                <w:sz w:val="16"/>
              </w:rPr>
              <w:t>6.1</w:t>
            </w:r>
          </w:p>
        </w:tc>
        <w:tc>
          <w:tcPr>
            <w:tcW w:type="dxa" w:w="2381"/>
          </w:tcPr>
          <w:p>
            <w:pPr>
              <w:spacing w:after="40"/>
              <w:jc w:val="left"/>
            </w:pPr>
            <w:r/>
            <w:r>
              <w:rPr>
                <w:sz w:val="16"/>
              </w:rPr>
              <w:t>Responsabilidade clínica (art.º 4.º DL 276/2001).</w:t>
            </w:r>
          </w:p>
        </w:tc>
        <w:tc>
          <w:tcPr>
            <w:tcW w:type="dxa" w:w="2608"/>
          </w:tcPr>
          <w:p>
            <w:pPr>
              <w:spacing w:after="40"/>
              <w:jc w:val="left"/>
            </w:pPr>
            <w:r/>
            <w:r>
              <w:rPr>
                <w:sz w:val="16"/>
              </w:rPr>
              <w:t>Remissão inadequada.</w:t>
            </w:r>
          </w:p>
        </w:tc>
        <w:tc>
          <w:tcPr>
            <w:tcW w:type="dxa" w:w="3061"/>
          </w:tcPr>
          <w:p>
            <w:pPr>
              <w:spacing w:after="40"/>
              <w:jc w:val="left"/>
            </w:pPr>
            <w:r/>
            <w:r>
              <w:rPr>
                <w:sz w:val="16"/>
              </w:rPr>
              <w:t>Ver 3.3.</w:t>
            </w:r>
          </w:p>
        </w:tc>
      </w:tr>
      <w:tr>
        <w:tc>
          <w:tcPr>
            <w:tcW w:type="dxa" w:w="1020"/>
          </w:tcPr>
          <w:p>
            <w:pPr>
              <w:spacing w:after="40"/>
              <w:jc w:val="left"/>
            </w:pPr>
            <w:r/>
            <w:r>
              <w:rPr>
                <w:sz w:val="16"/>
              </w:rPr>
              <w:t>6.2 e 6.8</w:t>
            </w:r>
          </w:p>
        </w:tc>
        <w:tc>
          <w:tcPr>
            <w:tcW w:type="dxa" w:w="2381"/>
          </w:tcPr>
          <w:p>
            <w:pPr>
              <w:spacing w:after="40"/>
              <w:jc w:val="left"/>
            </w:pPr>
            <w:r/>
            <w:r>
              <w:rPr>
                <w:sz w:val="16"/>
              </w:rPr>
              <w:t>Eutanásia na triagem.</w:t>
            </w:r>
          </w:p>
        </w:tc>
        <w:tc>
          <w:tcPr>
            <w:tcW w:type="dxa" w:w="2608"/>
          </w:tcPr>
          <w:p>
            <w:pPr>
              <w:spacing w:after="40"/>
              <w:jc w:val="left"/>
            </w:pPr>
            <w:r/>
            <w:r>
              <w:rPr>
                <w:sz w:val="16"/>
              </w:rPr>
              <w:t>Critério mais largo do que a Lei 27/2016.</w:t>
            </w:r>
          </w:p>
        </w:tc>
        <w:tc>
          <w:tcPr>
            <w:tcW w:type="dxa" w:w="3061"/>
          </w:tcPr>
          <w:p>
            <w:pPr>
              <w:spacing w:after="40"/>
              <w:jc w:val="left"/>
            </w:pPr>
            <w:r/>
            <w:r>
              <w:rPr>
                <w:sz w:val="16"/>
              </w:rPr>
              <w:t>Ver 4.4, f).</w:t>
            </w:r>
          </w:p>
        </w:tc>
      </w:tr>
      <w:tr>
        <w:tc>
          <w:tcPr>
            <w:tcW w:type="dxa" w:w="1020"/>
          </w:tcPr>
          <w:p>
            <w:pPr>
              <w:spacing w:after="40"/>
              <w:jc w:val="left"/>
            </w:pPr>
            <w:r/>
            <w:r>
              <w:rPr>
                <w:sz w:val="16"/>
              </w:rPr>
              <w:t>6.3</w:t>
            </w:r>
          </w:p>
        </w:tc>
        <w:tc>
          <w:tcPr>
            <w:tcW w:type="dxa" w:w="2381"/>
          </w:tcPr>
          <w:p>
            <w:pPr>
              <w:spacing w:after="40"/>
              <w:jc w:val="left"/>
            </w:pPr>
            <w:r/>
            <w:r>
              <w:rPr>
                <w:sz w:val="16"/>
              </w:rPr>
              <w:t>Registo no SIAC.</w:t>
            </w:r>
          </w:p>
        </w:tc>
        <w:tc>
          <w:tcPr>
            <w:tcW w:type="dxa" w:w="2608"/>
          </w:tcPr>
          <w:p>
            <w:pPr>
              <w:spacing w:after="40"/>
              <w:jc w:val="left"/>
            </w:pPr>
            <w:r/>
            <w:r>
              <w:rPr>
                <w:sz w:val="16"/>
              </w:rPr>
              <w:t>Insuficiente.</w:t>
            </w:r>
          </w:p>
        </w:tc>
        <w:tc>
          <w:tcPr>
            <w:tcW w:type="dxa" w:w="3061"/>
          </w:tcPr>
          <w:p>
            <w:pPr>
              <w:spacing w:after="40"/>
              <w:jc w:val="left"/>
            </w:pPr>
            <w:r/>
            <w:r>
              <w:rPr>
                <w:sz w:val="16"/>
              </w:rPr>
              <w:t>Estado «sob apreensão ou custódia».</w:t>
            </w:r>
          </w:p>
        </w:tc>
      </w:tr>
      <w:tr>
        <w:tc>
          <w:tcPr>
            <w:tcW w:type="dxa" w:w="1020"/>
          </w:tcPr>
          <w:p>
            <w:pPr>
              <w:spacing w:after="40"/>
              <w:jc w:val="left"/>
            </w:pPr>
            <w:r/>
            <w:r>
              <w:rPr>
                <w:sz w:val="16"/>
              </w:rPr>
              <w:t>6.4, 6.9</w:t>
            </w:r>
          </w:p>
        </w:tc>
        <w:tc>
          <w:tcPr>
            <w:tcW w:type="dxa" w:w="2381"/>
          </w:tcPr>
          <w:p>
            <w:pPr>
              <w:spacing w:after="40"/>
              <w:jc w:val="left"/>
            </w:pPr>
            <w:r/>
            <w:r>
              <w:rPr>
                <w:sz w:val="16"/>
              </w:rPr>
              <w:t>Ficha individual; amostras.</w:t>
            </w:r>
          </w:p>
        </w:tc>
        <w:tc>
          <w:tcPr>
            <w:tcW w:type="dxa" w:w="2608"/>
          </w:tcPr>
          <w:p>
            <w:pPr>
              <w:spacing w:after="40"/>
              <w:jc w:val="left"/>
            </w:pPr>
            <w:r/>
            <w:r>
              <w:rPr>
                <w:sz w:val="16"/>
              </w:rPr>
              <w:t>Muito bom.</w:t>
            </w:r>
          </w:p>
        </w:tc>
        <w:tc>
          <w:tcPr>
            <w:tcW w:type="dxa" w:w="3061"/>
          </w:tcPr>
          <w:p>
            <w:pPr>
              <w:spacing w:after="40"/>
              <w:jc w:val="left"/>
            </w:pPr>
            <w:r/>
            <w:r>
              <w:rPr>
                <w:sz w:val="16"/>
              </w:rPr>
              <w:t>Manter.</w:t>
            </w:r>
          </w:p>
        </w:tc>
      </w:tr>
      <w:tr>
        <w:tc>
          <w:tcPr>
            <w:tcW w:type="dxa" w:w="1020"/>
          </w:tcPr>
          <w:p>
            <w:pPr>
              <w:spacing w:after="40"/>
              <w:jc w:val="left"/>
            </w:pPr>
            <w:r/>
            <w:r>
              <w:rPr>
                <w:sz w:val="16"/>
              </w:rPr>
              <w:t>7.1</w:t>
            </w:r>
          </w:p>
        </w:tc>
        <w:tc>
          <w:tcPr>
            <w:tcW w:type="dxa" w:w="2381"/>
          </w:tcPr>
          <w:p>
            <w:pPr>
              <w:spacing w:after="40"/>
              <w:jc w:val="left"/>
            </w:pPr>
            <w:r/>
            <w:r>
              <w:rPr>
                <w:sz w:val="16"/>
              </w:rPr>
              <w:t>Animais de companhia para CRO.</w:t>
            </w:r>
          </w:p>
        </w:tc>
        <w:tc>
          <w:tcPr>
            <w:tcW w:type="dxa" w:w="2608"/>
          </w:tcPr>
          <w:p>
            <w:pPr>
              <w:spacing w:after="40"/>
              <w:jc w:val="left"/>
            </w:pPr>
            <w:r/>
            <w:r>
              <w:rPr>
                <w:sz w:val="16"/>
              </w:rPr>
              <w:t>Correto (art.º 19.º, n.º 9).</w:t>
            </w:r>
          </w:p>
        </w:tc>
        <w:tc>
          <w:tcPr>
            <w:tcW w:type="dxa" w:w="3061"/>
          </w:tcPr>
          <w:p>
            <w:pPr>
              <w:spacing w:after="40"/>
              <w:jc w:val="left"/>
            </w:pPr>
            <w:r/>
            <w:r>
              <w:rPr>
                <w:sz w:val="16"/>
              </w:rPr>
              <w:t>Ressalva da Lei 27/2016; presunção de 15 dias.</w:t>
            </w:r>
          </w:p>
        </w:tc>
      </w:tr>
      <w:tr>
        <w:tc>
          <w:tcPr>
            <w:tcW w:type="dxa" w:w="1020"/>
          </w:tcPr>
          <w:p>
            <w:pPr>
              <w:spacing w:after="40"/>
              <w:jc w:val="left"/>
            </w:pPr>
            <w:r/>
            <w:r>
              <w:rPr>
                <w:sz w:val="16"/>
              </w:rPr>
              <w:t>7.4 a 7.6</w:t>
            </w:r>
          </w:p>
        </w:tc>
        <w:tc>
          <w:tcPr>
            <w:tcW w:type="dxa" w:w="2381"/>
          </w:tcPr>
          <w:p>
            <w:pPr>
              <w:spacing w:after="40"/>
              <w:jc w:val="left"/>
            </w:pPr>
            <w:r/>
            <w:r>
              <w:rPr>
                <w:sz w:val="16"/>
              </w:rPr>
              <w:t>Entidade depositária; destino; proibição de cedência.</w:t>
            </w:r>
          </w:p>
        </w:tc>
        <w:tc>
          <w:tcPr>
            <w:tcW w:type="dxa" w:w="2608"/>
          </w:tcPr>
          <w:p>
            <w:pPr>
              <w:spacing w:after="40"/>
              <w:jc w:val="left"/>
            </w:pPr>
            <w:r/>
            <w:r>
              <w:rPr>
                <w:sz w:val="16"/>
              </w:rPr>
              <w:t>Bom, mas sem identificar a entidade competente.</w:t>
            </w:r>
          </w:p>
        </w:tc>
        <w:tc>
          <w:tcPr>
            <w:tcW w:type="dxa" w:w="3061"/>
          </w:tcPr>
          <w:p>
            <w:pPr>
              <w:spacing w:after="40"/>
              <w:jc w:val="left"/>
            </w:pPr>
            <w:r/>
            <w:r>
              <w:rPr>
                <w:sz w:val="16"/>
              </w:rPr>
              <w:t>Matriz de destino por via; cedência voluntária.</w:t>
            </w:r>
          </w:p>
        </w:tc>
      </w:tr>
      <w:tr>
        <w:tc>
          <w:tcPr>
            <w:tcW w:type="dxa" w:w="1020"/>
          </w:tcPr>
          <w:p>
            <w:pPr>
              <w:spacing w:after="40"/>
              <w:jc w:val="left"/>
            </w:pPr>
            <w:r/>
            <w:r>
              <w:rPr>
                <w:sz w:val="16"/>
              </w:rPr>
              <w:t>7.7</w:t>
            </w:r>
          </w:p>
        </w:tc>
        <w:tc>
          <w:tcPr>
            <w:tcW w:type="dxa" w:w="2381"/>
          </w:tcPr>
          <w:p>
            <w:pPr>
              <w:spacing w:after="40"/>
              <w:jc w:val="left"/>
            </w:pPr>
            <w:r/>
            <w:r>
              <w:rPr>
                <w:sz w:val="16"/>
              </w:rPr>
              <w:t>Encargos à «entidade responsável».</w:t>
            </w:r>
          </w:p>
        </w:tc>
        <w:tc>
          <w:tcPr>
            <w:tcW w:type="dxa" w:w="2608"/>
          </w:tcPr>
          <w:p>
            <w:pPr>
              <w:spacing w:after="40"/>
              <w:jc w:val="left"/>
            </w:pPr>
            <w:r/>
            <w:r>
              <w:rPr>
                <w:sz w:val="16"/>
              </w:rPr>
              <w:t>Indefinido.</w:t>
            </w:r>
          </w:p>
        </w:tc>
        <w:tc>
          <w:tcPr>
            <w:tcW w:type="dxa" w:w="3061"/>
          </w:tcPr>
          <w:p>
            <w:pPr>
              <w:spacing w:after="40"/>
              <w:jc w:val="left"/>
            </w:pPr>
            <w:r/>
            <w:r>
              <w:rPr>
                <w:sz w:val="16"/>
              </w:rPr>
              <w:t>Auto diz quem adianta e quem reembolsa; registo de custos.</w:t>
            </w:r>
          </w:p>
        </w:tc>
      </w:tr>
      <w:tr>
        <w:tc>
          <w:tcPr>
            <w:tcW w:type="dxa" w:w="1020"/>
          </w:tcPr>
          <w:p>
            <w:pPr>
              <w:spacing w:after="40"/>
              <w:jc w:val="left"/>
            </w:pPr>
            <w:r/>
            <w:r>
              <w:rPr>
                <w:sz w:val="16"/>
              </w:rPr>
              <w:t>7.8</w:t>
            </w:r>
          </w:p>
        </w:tc>
        <w:tc>
          <w:tcPr>
            <w:tcW w:type="dxa" w:w="2381"/>
          </w:tcPr>
          <w:p>
            <w:pPr>
              <w:spacing w:after="40"/>
              <w:jc w:val="left"/>
            </w:pPr>
            <w:r/>
            <w:r>
              <w:rPr>
                <w:sz w:val="16"/>
              </w:rPr>
              <w:t>Inventário em 15 dias.</w:t>
            </w:r>
          </w:p>
        </w:tc>
        <w:tc>
          <w:tcPr>
            <w:tcW w:type="dxa" w:w="2608"/>
          </w:tcPr>
          <w:p>
            <w:pPr>
              <w:spacing w:after="40"/>
              <w:jc w:val="left"/>
            </w:pPr>
            <w:r/>
            <w:r>
              <w:rPr>
                <w:sz w:val="16"/>
              </w:rPr>
              <w:t>Muito bom.</w:t>
            </w:r>
          </w:p>
        </w:tc>
        <w:tc>
          <w:tcPr>
            <w:tcW w:type="dxa" w:w="3061"/>
          </w:tcPr>
          <w:p>
            <w:pPr>
              <w:spacing w:after="40"/>
              <w:jc w:val="left"/>
            </w:pPr>
            <w:r/>
            <w:r>
              <w:rPr>
                <w:sz w:val="16"/>
              </w:rPr>
              <w:t>Manter.</w:t>
            </w:r>
          </w:p>
        </w:tc>
      </w:tr>
      <w:tr>
        <w:tc>
          <w:tcPr>
            <w:tcW w:type="dxa" w:w="1020"/>
          </w:tcPr>
          <w:p>
            <w:pPr>
              <w:spacing w:after="40"/>
              <w:jc w:val="left"/>
            </w:pPr>
            <w:r/>
            <w:r>
              <w:rPr>
                <w:sz w:val="16"/>
              </w:rPr>
              <w:t>8</w:t>
            </w:r>
          </w:p>
        </w:tc>
        <w:tc>
          <w:tcPr>
            <w:tcW w:type="dxa" w:w="2381"/>
          </w:tcPr>
          <w:p>
            <w:pPr>
              <w:spacing w:after="40"/>
              <w:jc w:val="left"/>
            </w:pPr>
            <w:r/>
            <w:r>
              <w:rPr>
                <w:sz w:val="16"/>
              </w:rPr>
              <w:t>Comunicação e reserva.</w:t>
            </w:r>
          </w:p>
        </w:tc>
        <w:tc>
          <w:tcPr>
            <w:tcW w:type="dxa" w:w="2608"/>
          </w:tcPr>
          <w:p>
            <w:pPr>
              <w:spacing w:after="40"/>
              <w:jc w:val="left"/>
            </w:pPr>
            <w:r/>
            <w:r>
              <w:rPr>
                <w:sz w:val="16"/>
              </w:rPr>
              <w:t>Finalidade legítima; meio sem base legal.</w:t>
            </w:r>
          </w:p>
        </w:tc>
        <w:tc>
          <w:tcPr>
            <w:tcW w:type="dxa" w:w="3061"/>
          </w:tcPr>
          <w:p>
            <w:pPr>
              <w:spacing w:after="40"/>
              <w:jc w:val="left"/>
            </w:pPr>
            <w:r/>
            <w:r>
              <w:rPr>
                <w:sz w:val="16"/>
              </w:rPr>
              <w:t>Termo de compromisso; retirar linguagem valorativa.</w:t>
            </w:r>
          </w:p>
        </w:tc>
      </w:tr>
      <w:tr>
        <w:tc>
          <w:tcPr>
            <w:tcW w:type="dxa" w:w="1020"/>
          </w:tcPr>
          <w:p>
            <w:pPr>
              <w:spacing w:after="40"/>
              <w:jc w:val="left"/>
            </w:pPr>
            <w:r/>
            <w:r>
              <w:rPr>
                <w:sz w:val="16"/>
              </w:rPr>
              <w:t>9</w:t>
            </w:r>
          </w:p>
        </w:tc>
        <w:tc>
          <w:tcPr>
            <w:tcW w:type="dxa" w:w="2381"/>
          </w:tcPr>
          <w:p>
            <w:pPr>
              <w:spacing w:after="40"/>
              <w:jc w:val="left"/>
            </w:pPr>
            <w:r/>
            <w:r>
              <w:rPr>
                <w:sz w:val="16"/>
              </w:rPr>
              <w:t>Credenciação, lista, suspensão.</w:t>
            </w:r>
          </w:p>
        </w:tc>
        <w:tc>
          <w:tcPr>
            <w:tcW w:type="dxa" w:w="2608"/>
          </w:tcPr>
          <w:p>
            <w:pPr>
              <w:spacing w:after="40"/>
              <w:jc w:val="left"/>
            </w:pPr>
            <w:r/>
            <w:r>
              <w:rPr>
                <w:sz w:val="16"/>
              </w:rPr>
              <w:t>Efeitos externos sem norma habilitante.</w:t>
            </w:r>
          </w:p>
        </w:tc>
        <w:tc>
          <w:tcPr>
            <w:tcW w:type="dxa" w:w="3061"/>
          </w:tcPr>
          <w:p>
            <w:pPr>
              <w:spacing w:after="40"/>
              <w:jc w:val="left"/>
            </w:pPr>
            <w:r/>
            <w:r>
              <w:rPr>
                <w:sz w:val="16"/>
              </w:rPr>
              <w:t>Bolsa por protocolo assente em títulos legais.</w:t>
            </w:r>
          </w:p>
        </w:tc>
      </w:tr>
      <w:tr>
        <w:tc>
          <w:tcPr>
            <w:tcW w:type="dxa" w:w="1020"/>
          </w:tcPr>
          <w:p>
            <w:pPr>
              <w:spacing w:after="40"/>
              <w:jc w:val="left"/>
            </w:pPr>
            <w:r/>
            <w:r>
              <w:rPr>
                <w:sz w:val="16"/>
              </w:rPr>
              <w:t>10</w:t>
            </w:r>
          </w:p>
        </w:tc>
        <w:tc>
          <w:tcPr>
            <w:tcW w:type="dxa" w:w="2381"/>
          </w:tcPr>
          <w:p>
            <w:pPr>
              <w:spacing w:after="40"/>
              <w:jc w:val="left"/>
            </w:pPr>
            <w:r/>
            <w:r>
              <w:rPr>
                <w:sz w:val="16"/>
              </w:rPr>
              <w:t>Relatório em 30 dias.</w:t>
            </w:r>
          </w:p>
        </w:tc>
        <w:tc>
          <w:tcPr>
            <w:tcW w:type="dxa" w:w="2608"/>
          </w:tcPr>
          <w:p>
            <w:pPr>
              <w:spacing w:after="40"/>
              <w:jc w:val="left"/>
            </w:pPr>
            <w:r/>
            <w:r>
              <w:rPr>
                <w:sz w:val="16"/>
              </w:rPr>
              <w:t>Bom.</w:t>
            </w:r>
          </w:p>
        </w:tc>
        <w:tc>
          <w:tcPr>
            <w:tcW w:type="dxa" w:w="3061"/>
          </w:tcPr>
          <w:p>
            <w:pPr>
              <w:spacing w:after="40"/>
              <w:jc w:val="left"/>
            </w:pPr>
            <w:r/>
            <w:r>
              <w:rPr>
                <w:sz w:val="16"/>
              </w:rPr>
              <w:t>Manter, com limiar.</w:t>
            </w:r>
          </w:p>
        </w:tc>
      </w:tr>
      <w:tr>
        <w:tc>
          <w:tcPr>
            <w:tcW w:type="dxa" w:w="1020"/>
          </w:tcPr>
          <w:p>
            <w:pPr>
              <w:spacing w:after="40"/>
              <w:jc w:val="left"/>
            </w:pPr>
            <w:r/>
            <w:r>
              <w:rPr>
                <w:sz w:val="16"/>
              </w:rPr>
              <w:t>11</w:t>
            </w:r>
          </w:p>
        </w:tc>
        <w:tc>
          <w:tcPr>
            <w:tcW w:type="dxa" w:w="2381"/>
          </w:tcPr>
          <w:p>
            <w:pPr>
              <w:spacing w:after="40"/>
              <w:jc w:val="left"/>
            </w:pPr>
            <w:r/>
            <w:r>
              <w:rPr>
                <w:sz w:val="16"/>
              </w:rPr>
              <w:t>Proteção civil.</w:t>
            </w:r>
          </w:p>
        </w:tc>
        <w:tc>
          <w:tcPr>
            <w:tcW w:type="dxa" w:w="2608"/>
          </w:tcPr>
          <w:p>
            <w:pPr>
              <w:spacing w:after="40"/>
              <w:jc w:val="left"/>
            </w:pPr>
            <w:r/>
            <w:r>
              <w:rPr>
                <w:sz w:val="16"/>
              </w:rPr>
              <w:t>Base certa; falta integração no SIOPS.</w:t>
            </w:r>
          </w:p>
        </w:tc>
        <w:tc>
          <w:tcPr>
            <w:tcW w:type="dxa" w:w="3061"/>
          </w:tcPr>
          <w:p>
            <w:pPr>
              <w:spacing w:after="40"/>
              <w:jc w:val="left"/>
            </w:pPr>
            <w:r/>
            <w:r>
              <w:rPr>
                <w:sz w:val="16"/>
              </w:rPr>
              <w:t>Ver 5.4 e 5.6.</w:t>
            </w:r>
          </w:p>
        </w:tc>
      </w:tr>
      <w:tr>
        <w:tc>
          <w:tcPr>
            <w:tcW w:type="dxa" w:w="1020"/>
          </w:tcPr>
          <w:p>
            <w:pPr>
              <w:spacing w:after="40"/>
              <w:jc w:val="left"/>
            </w:pPr>
            <w:r/>
            <w:r>
              <w:rPr>
                <w:sz w:val="16"/>
              </w:rPr>
              <w:t>12</w:t>
            </w:r>
          </w:p>
        </w:tc>
        <w:tc>
          <w:tcPr>
            <w:tcW w:type="dxa" w:w="2381"/>
          </w:tcPr>
          <w:p>
            <w:pPr>
              <w:spacing w:after="40"/>
              <w:jc w:val="left"/>
            </w:pPr>
            <w:r/>
            <w:r>
              <w:rPr>
                <w:sz w:val="16"/>
              </w:rPr>
              <w:t>Grupo de trabalho em 30 dias.</w:t>
            </w:r>
          </w:p>
        </w:tc>
        <w:tc>
          <w:tcPr>
            <w:tcW w:type="dxa" w:w="2608"/>
          </w:tcPr>
          <w:p>
            <w:pPr>
              <w:spacing w:after="40"/>
              <w:jc w:val="left"/>
            </w:pPr>
            <w:r/>
            <w:r>
              <w:rPr>
                <w:sz w:val="16"/>
              </w:rPr>
              <w:t>Prazo já ultrapassado.</w:t>
            </w:r>
          </w:p>
        </w:tc>
        <w:tc>
          <w:tcPr>
            <w:tcW w:type="dxa" w:w="3061"/>
          </w:tcPr>
          <w:p>
            <w:pPr>
              <w:spacing w:after="40"/>
              <w:jc w:val="left"/>
            </w:pPr>
            <w:r/>
            <w:r>
              <w:rPr>
                <w:sz w:val="16"/>
              </w:rPr>
              <w:t>Responder com estrutura de 7.1.</w:t>
            </w:r>
          </w:p>
        </w:tc>
      </w:tr>
    </w:tbl>
    <w:p>
      <w:pPr>
        <w:spacing w:after="80"/>
      </w:pPr>
    </w:p>
    <w:p>
      <w:pPr>
        <w:keepNext/>
        <w:spacing w:before="360" w:after="120"/>
      </w:pPr>
      <w:r>
        <w:rPr>
          <w:b/>
          <w:color w:val="1F3B63"/>
          <w:sz w:val="27"/>
        </w:rPr>
        <w:t>Anexo II. Fontes e estado de verificação</w:t>
      </w:r>
    </w:p>
    <w:tbl>
      <w:tblPr>
        <w:tblStyle w:val="TableGrid"/>
        <w:tblW w:type="auto" w:w="0"/>
        <w:jc w:val="center"/>
        <w:tblLook w:firstColumn="1" w:firstRow="1" w:lastColumn="0" w:lastRow="0" w:noHBand="0" w:noVBand="1" w:val="04A0"/>
      </w:tblPr>
      <w:tblGrid>
        <w:gridCol w:w="3135"/>
        <w:gridCol w:w="3135"/>
        <w:gridCol w:w="3135"/>
      </w:tblGrid>
      <w:tr>
        <w:tc>
          <w:tcPr>
            <w:tcW w:type="dxa" w:w="2835"/>
          </w:tcPr>
          <w:p>
            <w:pPr>
              <w:spacing w:after="40"/>
            </w:pPr>
            <w:r/>
            <w:r>
              <w:rPr>
                <w:b/>
                <w:color w:val="1F3B63"/>
                <w:sz w:val="18"/>
              </w:rPr>
              <w:t>Fonte</w:t>
            </w:r>
          </w:p>
        </w:tc>
        <w:tc>
          <w:tcPr>
            <w:tcW w:type="dxa" w:w="3969"/>
          </w:tcPr>
          <w:p>
            <w:pPr>
              <w:spacing w:after="40"/>
            </w:pPr>
            <w:r/>
            <w:r>
              <w:rPr>
                <w:b/>
                <w:color w:val="1F3B63"/>
                <w:sz w:val="18"/>
              </w:rPr>
              <w:t>Onde foi lida</w:t>
            </w:r>
          </w:p>
        </w:tc>
        <w:tc>
          <w:tcPr>
            <w:tcW w:type="dxa" w:w="2268"/>
          </w:tcPr>
          <w:p>
            <w:pPr>
              <w:spacing w:after="40"/>
            </w:pPr>
            <w:r/>
            <w:r>
              <w:rPr>
                <w:b/>
                <w:color w:val="1F3B63"/>
                <w:sz w:val="18"/>
              </w:rPr>
              <w:t>Estado</w:t>
            </w:r>
          </w:p>
        </w:tc>
      </w:tr>
      <w:tr>
        <w:tc>
          <w:tcPr>
            <w:tcW w:type="dxa" w:w="2835"/>
          </w:tcPr>
          <w:p>
            <w:pPr>
              <w:spacing w:after="40"/>
              <w:jc w:val="left"/>
            </w:pPr>
            <w:r/>
            <w:r>
              <w:rPr>
                <w:sz w:val="17"/>
              </w:rPr>
              <w:t>Proposta OMV/ANVETEM, v3.0, 26.8.2026</w:t>
            </w:r>
          </w:p>
        </w:tc>
        <w:tc>
          <w:tcPr>
            <w:tcW w:type="dxa" w:w="3969"/>
          </w:tcPr>
          <w:p>
            <w:pPr>
              <w:spacing w:after="40"/>
              <w:jc w:val="left"/>
            </w:pPr>
            <w:r/>
            <w:r>
              <w:rPr>
                <w:sz w:val="17"/>
              </w:rPr>
              <w:t>repositório: Protocolo de retirada de alojamentos/</w:t>
            </w:r>
          </w:p>
        </w:tc>
        <w:tc>
          <w:tcPr>
            <w:tcW w:type="dxa" w:w="2268"/>
          </w:tcPr>
          <w:p>
            <w:pPr>
              <w:spacing w:after="40"/>
              <w:jc w:val="left"/>
            </w:pPr>
            <w:r/>
            <w:r>
              <w:rPr>
                <w:sz w:val="17"/>
              </w:rPr>
              <w:t>Lida na íntegra</w:t>
            </w:r>
          </w:p>
        </w:tc>
      </w:tr>
      <w:tr>
        <w:tc>
          <w:tcPr>
            <w:tcW w:type="dxa" w:w="2835"/>
          </w:tcPr>
          <w:p>
            <w:pPr>
              <w:spacing w:after="40"/>
              <w:jc w:val="left"/>
            </w:pPr>
            <w:r/>
            <w:r>
              <w:rPr>
                <w:sz w:val="17"/>
              </w:rPr>
              <w:t>Lei n.º 38/2026, de 3 de agosto</w:t>
            </w:r>
          </w:p>
        </w:tc>
        <w:tc>
          <w:tcPr>
            <w:tcW w:type="dxa" w:w="3969"/>
          </w:tcPr>
          <w:p>
            <w:pPr>
              <w:spacing w:after="40"/>
              <w:jc w:val="left"/>
            </w:pPr>
            <w:r/>
            <w:r>
              <w:rPr>
                <w:sz w:val="17"/>
              </w:rPr>
              <w:t>DR, 1.ª série, n.º 148, de 3.8.2026 (data.dre.pt,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Lei n.º 39/2020, de 18 de agosto (CP, CPP, Lei 92/95)</w:t>
            </w:r>
          </w:p>
        </w:tc>
        <w:tc>
          <w:tcPr>
            <w:tcW w:type="dxa" w:w="3969"/>
          </w:tcPr>
          <w:p>
            <w:pPr>
              <w:spacing w:after="40"/>
              <w:jc w:val="left"/>
            </w:pPr>
            <w:r/>
            <w:r>
              <w:rPr>
                <w:sz w:val="17"/>
              </w:rPr>
              <w:t>DR, 1.ª série, n.º 160, de 18.8.2020 (rota ELI)</w:t>
            </w:r>
          </w:p>
        </w:tc>
        <w:tc>
          <w:tcPr>
            <w:tcW w:type="dxa" w:w="2268"/>
          </w:tcPr>
          <w:p>
            <w:pPr>
              <w:spacing w:after="40"/>
              <w:jc w:val="left"/>
            </w:pPr>
            <w:r/>
            <w:r>
              <w:rPr>
                <w:sz w:val="17"/>
              </w:rPr>
              <w:t>Texto publicado, conferido; consolidação posterior do CPP por confirmar</w:t>
            </w:r>
          </w:p>
        </w:tc>
      </w:tr>
      <w:tr>
        <w:tc>
          <w:tcPr>
            <w:tcW w:type="dxa" w:w="2835"/>
          </w:tcPr>
          <w:p>
            <w:pPr>
              <w:spacing w:after="40"/>
              <w:jc w:val="left"/>
            </w:pPr>
            <w:r/>
            <w:r>
              <w:rPr>
                <w:sz w:val="17"/>
              </w:rPr>
              <w:t>Lei n.º 92/95 (versão consolidada)</w:t>
            </w:r>
          </w:p>
        </w:tc>
        <w:tc>
          <w:tcPr>
            <w:tcW w:type="dxa" w:w="3969"/>
          </w:tcPr>
          <w:p>
            <w:pPr>
              <w:spacing w:after="40"/>
              <w:jc w:val="left"/>
            </w:pPr>
            <w:r/>
            <w:r>
              <w:rPr>
                <w:sz w:val="17"/>
              </w:rPr>
              <w:t>repositório: Legislação vigente/</w:t>
            </w:r>
          </w:p>
        </w:tc>
        <w:tc>
          <w:tcPr>
            <w:tcW w:type="dxa" w:w="2268"/>
          </w:tcPr>
          <w:p>
            <w:pPr>
              <w:spacing w:after="40"/>
              <w:jc w:val="left"/>
            </w:pPr>
            <w:r/>
            <w:r>
              <w:rPr>
                <w:sz w:val="17"/>
              </w:rPr>
              <w:t>Conferida (inclui Lei 39/2020 e Lei 6/2022)</w:t>
            </w:r>
          </w:p>
        </w:tc>
      </w:tr>
      <w:tr>
        <w:tc>
          <w:tcPr>
            <w:tcW w:type="dxa" w:w="2835"/>
          </w:tcPr>
          <w:p>
            <w:pPr>
              <w:spacing w:after="40"/>
              <w:jc w:val="left"/>
            </w:pPr>
            <w:r/>
            <w:r>
              <w:rPr>
                <w:sz w:val="17"/>
              </w:rPr>
              <w:t>DL 276/2001 (versão consolidada)</w:t>
            </w:r>
          </w:p>
        </w:tc>
        <w:tc>
          <w:tcPr>
            <w:tcW w:type="dxa" w:w="3969"/>
          </w:tcPr>
          <w:p>
            <w:pPr>
              <w:spacing w:after="40"/>
              <w:jc w:val="left"/>
            </w:pPr>
            <w:r/>
            <w:r>
              <w:rPr>
                <w:sz w:val="17"/>
              </w:rPr>
              <w:t>repositório: 10a DL 276_2001 - VERSAO ATUALIZADA E CONSOLIDADA.pdf; versões 2a a 5a para a origem do art.º 19.º</w:t>
            </w:r>
          </w:p>
        </w:tc>
        <w:tc>
          <w:tcPr>
            <w:tcW w:type="dxa" w:w="2268"/>
          </w:tcPr>
          <w:p>
            <w:pPr>
              <w:spacing w:after="40"/>
              <w:jc w:val="left"/>
            </w:pPr>
            <w:r/>
            <w:r>
              <w:rPr>
                <w:sz w:val="17"/>
              </w:rPr>
              <w:t>Conferido</w:t>
            </w:r>
          </w:p>
        </w:tc>
      </w:tr>
      <w:tr>
        <w:tc>
          <w:tcPr>
            <w:tcW w:type="dxa" w:w="2835"/>
          </w:tcPr>
          <w:p>
            <w:pPr>
              <w:spacing w:after="40"/>
              <w:jc w:val="left"/>
            </w:pPr>
            <w:r/>
            <w:r>
              <w:rPr>
                <w:sz w:val="17"/>
              </w:rPr>
              <w:t>RJCE (DL 9/2021, anexo)</w:t>
            </w:r>
          </w:p>
        </w:tc>
        <w:tc>
          <w:tcPr>
            <w:tcW w:type="dxa" w:w="3969"/>
          </w:tcPr>
          <w:p>
            <w:pPr>
              <w:spacing w:after="40"/>
              <w:jc w:val="left"/>
            </w:pPr>
            <w:r/>
            <w:r>
              <w:rPr>
                <w:sz w:val="17"/>
              </w:rPr>
              <w:t>repositório: Legislação vigente/ (DR, 1.ª série, n.º 20, de 29.1.2021)</w:t>
            </w:r>
          </w:p>
        </w:tc>
        <w:tc>
          <w:tcPr>
            <w:tcW w:type="dxa" w:w="2268"/>
          </w:tcPr>
          <w:p>
            <w:pPr>
              <w:spacing w:after="40"/>
              <w:jc w:val="left"/>
            </w:pPr>
            <w:r/>
            <w:r>
              <w:rPr>
                <w:sz w:val="17"/>
              </w:rPr>
              <w:t>Texto publicado; consolidação por confirmar</w:t>
            </w:r>
          </w:p>
        </w:tc>
      </w:tr>
      <w:tr>
        <w:tc>
          <w:tcPr>
            <w:tcW w:type="dxa" w:w="2835"/>
          </w:tcPr>
          <w:p>
            <w:pPr>
              <w:spacing w:after="40"/>
              <w:jc w:val="left"/>
            </w:pPr>
            <w:r/>
            <w:r>
              <w:rPr>
                <w:sz w:val="17"/>
              </w:rPr>
              <w:t>DL 116/98</w:t>
            </w:r>
          </w:p>
        </w:tc>
        <w:tc>
          <w:tcPr>
            <w:tcW w:type="dxa" w:w="3969"/>
          </w:tcPr>
          <w:p>
            <w:pPr>
              <w:spacing w:after="40"/>
              <w:jc w:val="left"/>
            </w:pPr>
            <w:r/>
            <w:r>
              <w:rPr>
                <w:sz w:val="17"/>
              </w:rPr>
              <w:t>DR, I série-A, n.º 103, de 5.5.1998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SIOPS (DL 90-A/2022)</w:t>
            </w:r>
          </w:p>
        </w:tc>
        <w:tc>
          <w:tcPr>
            <w:tcW w:type="dxa" w:w="3969"/>
          </w:tcPr>
          <w:p>
            <w:pPr>
              <w:spacing w:after="40"/>
              <w:jc w:val="left"/>
            </w:pPr>
            <w:r/>
            <w:r>
              <w:rPr>
                <w:sz w:val="17"/>
              </w:rPr>
              <w:t>DR, 1.ª série, n.º 251, de 30.12.2022 (rota ELI)</w:t>
            </w:r>
          </w:p>
        </w:tc>
        <w:tc>
          <w:tcPr>
            <w:tcW w:type="dxa" w:w="2268"/>
          </w:tcPr>
          <w:p>
            <w:pPr>
              <w:spacing w:after="40"/>
              <w:jc w:val="left"/>
            </w:pPr>
            <w:r/>
            <w:r>
              <w:rPr>
                <w:sz w:val="17"/>
              </w:rPr>
              <w:t>Texto publicado, conferido</w:t>
            </w:r>
          </w:p>
        </w:tc>
      </w:tr>
      <w:tr>
        <w:tc>
          <w:tcPr>
            <w:tcW w:type="dxa" w:w="2835"/>
          </w:tcPr>
          <w:p>
            <w:pPr>
              <w:spacing w:after="40"/>
              <w:jc w:val="left"/>
            </w:pPr>
            <w:r/>
            <w:r>
              <w:rPr>
                <w:sz w:val="17"/>
              </w:rPr>
              <w:t>Lei n.º 80/2015 (LBPC republicada)</w:t>
            </w:r>
          </w:p>
        </w:tc>
        <w:tc>
          <w:tcPr>
            <w:tcW w:type="dxa" w:w="3969"/>
          </w:tcPr>
          <w:p>
            <w:pPr>
              <w:spacing w:after="40"/>
              <w:jc w:val="left"/>
            </w:pPr>
            <w:r/>
            <w:r>
              <w:rPr>
                <w:sz w:val="17"/>
              </w:rPr>
              <w:t>DR, 1.ª série, n.º 149, de 3.8.2015 (rota ELI)</w:t>
            </w:r>
          </w:p>
        </w:tc>
        <w:tc>
          <w:tcPr>
            <w:tcW w:type="dxa" w:w="2268"/>
          </w:tcPr>
          <w:p>
            <w:pPr>
              <w:spacing w:after="40"/>
              <w:jc w:val="left"/>
            </w:pPr>
            <w:r/>
            <w:r>
              <w:rPr>
                <w:sz w:val="17"/>
              </w:rPr>
              <w:t>Conferida</w:t>
            </w:r>
          </w:p>
        </w:tc>
      </w:tr>
      <w:tr>
        <w:tc>
          <w:tcPr>
            <w:tcW w:type="dxa" w:w="2835"/>
          </w:tcPr>
          <w:p>
            <w:pPr>
              <w:spacing w:after="40"/>
              <w:jc w:val="left"/>
            </w:pPr>
            <w:r/>
            <w:r>
              <w:rPr>
                <w:sz w:val="17"/>
              </w:rPr>
              <w:t>Lei n.º 27/2016; DL 82/2019; RCM 78/2021</w:t>
            </w:r>
          </w:p>
        </w:tc>
        <w:tc>
          <w:tcPr>
            <w:tcW w:type="dxa" w:w="3969"/>
          </w:tcPr>
          <w:p>
            <w:pPr>
              <w:spacing w:after="40"/>
              <w:jc w:val="left"/>
            </w:pPr>
            <w:r/>
            <w:r>
              <w:rPr>
                <w:sz w:val="17"/>
              </w:rPr>
              <w:t>repositório: Legislação vigente/</w:t>
            </w:r>
          </w:p>
        </w:tc>
        <w:tc>
          <w:tcPr>
            <w:tcW w:type="dxa" w:w="2268"/>
          </w:tcPr>
          <w:p>
            <w:pPr>
              <w:spacing w:after="40"/>
              <w:jc w:val="left"/>
            </w:pPr>
            <w:r/>
            <w:r>
              <w:rPr>
                <w:sz w:val="17"/>
              </w:rPr>
              <w:t>Conferidos</w:t>
            </w:r>
          </w:p>
        </w:tc>
      </w:tr>
      <w:tr>
        <w:tc>
          <w:tcPr>
            <w:tcW w:type="dxa" w:w="2835"/>
          </w:tcPr>
          <w:p>
            <w:pPr>
              <w:spacing w:after="40"/>
              <w:jc w:val="left"/>
            </w:pPr>
            <w:r/>
            <w:r>
              <w:rPr>
                <w:sz w:val="17"/>
              </w:rPr>
              <w:t>DL 314/2003, art.º 3.º</w:t>
            </w:r>
          </w:p>
        </w:tc>
        <w:tc>
          <w:tcPr>
            <w:tcW w:type="dxa" w:w="3969"/>
          </w:tcPr>
          <w:p>
            <w:pPr>
              <w:spacing w:after="40"/>
              <w:jc w:val="left"/>
            </w:pPr>
            <w:r/>
            <w:r>
              <w:rPr>
                <w:sz w:val="17"/>
              </w:rPr>
              <w:t>repositório: CHECKPOINT-FOGO-vs-ALOJAMENTO-REGISTADO.md (conferido no DR)</w:t>
            </w:r>
          </w:p>
        </w:tc>
        <w:tc>
          <w:tcPr>
            <w:tcW w:type="dxa" w:w="2268"/>
          </w:tcPr>
          <w:p>
            <w:pPr>
              <w:spacing w:after="40"/>
              <w:jc w:val="left"/>
            </w:pPr>
            <w:r/>
            <w:r>
              <w:rPr>
                <w:sz w:val="17"/>
              </w:rPr>
              <w:t>Conferido em estudo anterior</w:t>
            </w:r>
          </w:p>
        </w:tc>
      </w:tr>
      <w:tr>
        <w:tc>
          <w:tcPr>
            <w:tcW w:type="dxa" w:w="2835"/>
          </w:tcPr>
          <w:p>
            <w:pPr>
              <w:spacing w:after="40"/>
              <w:jc w:val="left"/>
            </w:pPr>
            <w:r/>
            <w:r>
              <w:rPr>
                <w:sz w:val="17"/>
              </w:rPr>
              <w:t>Regulamento (UE) 2026/1818</w:t>
            </w:r>
          </w:p>
        </w:tc>
        <w:tc>
          <w:tcPr>
            <w:tcW w:type="dxa" w:w="3969"/>
          </w:tcPr>
          <w:p>
            <w:pPr>
              <w:spacing w:after="40"/>
              <w:jc w:val="left"/>
            </w:pPr>
            <w:r/>
            <w:r>
              <w:rPr>
                <w:sz w:val="17"/>
              </w:rPr>
              <w:t>repositório: Regulamento Versao final en-en.pdf e Regulamento 2026_01818_PT.pdf (JO)</w:t>
            </w:r>
          </w:p>
        </w:tc>
        <w:tc>
          <w:tcPr>
            <w:tcW w:type="dxa" w:w="2268"/>
          </w:tcPr>
          <w:p>
            <w:pPr>
              <w:spacing w:after="40"/>
              <w:jc w:val="left"/>
            </w:pPr>
            <w:r/>
            <w:r>
              <w:rPr>
                <w:sz w:val="17"/>
              </w:rPr>
              <w:t>Conferido</w:t>
            </w:r>
          </w:p>
        </w:tc>
      </w:tr>
      <w:tr>
        <w:tc>
          <w:tcPr>
            <w:tcW w:type="dxa" w:w="2835"/>
          </w:tcPr>
          <w:p>
            <w:pPr>
              <w:spacing w:after="40"/>
              <w:jc w:val="left"/>
            </w:pPr>
            <w:r/>
            <w:r>
              <w:rPr>
                <w:sz w:val="17"/>
              </w:rPr>
              <w:t>Projeto de RGAC</w:t>
            </w:r>
          </w:p>
        </w:tc>
        <w:tc>
          <w:tcPr>
            <w:tcW w:type="dxa" w:w="3969"/>
          </w:tcPr>
          <w:p>
            <w:pPr>
              <w:spacing w:after="40"/>
              <w:jc w:val="left"/>
            </w:pPr>
            <w:r/>
            <w:r>
              <w:rPr>
                <w:sz w:val="17"/>
              </w:rPr>
              <w:t>repositório: ficheiro ⭐ da tabela 2.1 do CLAUDE.md</w:t>
            </w:r>
          </w:p>
        </w:tc>
        <w:tc>
          <w:tcPr>
            <w:tcW w:type="dxa" w:w="2268"/>
          </w:tcPr>
          <w:p>
            <w:pPr>
              <w:spacing w:after="40"/>
              <w:jc w:val="left"/>
            </w:pPr>
            <w:r/>
            <w:r>
              <w:rPr>
                <w:sz w:val="17"/>
              </w:rPr>
              <w:t>Proposta, não vigente</w:t>
            </w:r>
          </w:p>
        </w:tc>
      </w:tr>
      <w:tr>
        <w:tc>
          <w:tcPr>
            <w:tcW w:type="dxa" w:w="2835"/>
          </w:tcPr>
          <w:p>
            <w:pPr>
              <w:spacing w:after="40"/>
              <w:jc w:val="left"/>
            </w:pPr>
            <w:r/>
            <w:r>
              <w:rPr>
                <w:sz w:val="17"/>
              </w:rPr>
              <w:t>Requerimento do LIVRE de 13.7.2026</w:t>
            </w:r>
          </w:p>
        </w:tc>
        <w:tc>
          <w:tcPr>
            <w:tcW w:type="dxa" w:w="3969"/>
          </w:tcPr>
          <w:p>
            <w:pPr>
              <w:spacing w:after="40"/>
              <w:jc w:val="left"/>
            </w:pPr>
            <w:r/>
            <w:r>
              <w:rPr>
                <w:sz w:val="17"/>
              </w:rPr>
              <w:t>repositório: criador informal/REQ 54_7CAPes…pdf</w:t>
            </w:r>
          </w:p>
        </w:tc>
        <w:tc>
          <w:tcPr>
            <w:tcW w:type="dxa" w:w="2268"/>
          </w:tcPr>
          <w:p>
            <w:pPr>
              <w:spacing w:after="40"/>
              <w:jc w:val="left"/>
            </w:pPr>
            <w:r/>
            <w:r>
              <w:rPr>
                <w:sz w:val="17"/>
              </w:rPr>
              <w:t>Lido</w:t>
            </w:r>
          </w:p>
        </w:tc>
      </w:tr>
    </w:tbl>
    <w:p>
      <w:pPr>
        <w:spacing w:after="8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