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1.22</w:t>
            </w:r>
          </w:p>
        </w:tc>
      </w:tr>
      <w:tr>
        <w:tc>
          <w:tcPr>
            <w:tcW w:w="2551" w:type="dxa"/>
          </w:tcPr>
          <w:p>
            <w:pPr>
              <w:spacing w:after="60"/>
            </w:pPr>
            <w:r/>
            <w:r>
              <w:rPr>
                <w:b/>
                <w:sz w:val="20"/>
              </w:rPr>
              <w:t>Data</w:t>
            </w:r>
          </w:p>
        </w:tc>
        <w:tc>
          <w:tcPr>
            <w:tcW w:w="6520" w:type="dxa"/>
          </w:tcPr>
          <w:p>
            <w:pPr>
              <w:spacing w:after="60"/>
            </w:pPr>
            <w:r/>
            <w:r>
              <w:rPr>
                <w:b w:val="0"/>
                <w:sz w:val="20"/>
              </w:rPr>
              <w:t>14.10.2026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0"/>
        <w:ind w:left="567"/>
      </w:pPr>
      <w:r>
        <w:rPr>
          <w:b w:val="0"/>
          <w:i w:val="0"/>
        </w:rPr>
        <w:t>BEM-02. Nada sobre animais de companhia em acidente grave ou catástrofe (art. 25.º)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SAN-02. A recolha por razões de bem-estar passa da DGAV para as câmaras e o destino para o médico veterinário municipal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0"/>
        <w:ind w:left="567"/>
      </w:pPr>
      <w:r>
        <w:rPr>
          <w:b w:val="0"/>
          <w:i w:val="0"/>
        </w:rPr>
        <w:t>TIT-21. A presunção de abandono aos 15 dias não ressalva animais apreendidos nem animais socorridos em emergência (art. 98.º)</w:t>
      </w:r>
    </w:p>
    <w:p>
      <w:pPr>
        <w:spacing w:after="40"/>
      </w:pPr>
    </w:p>
    <w:p>
      <w:pPr>
        <w:spacing w:after="40"/>
      </w:pPr>
      <w:r>
        <w:rPr>
          <w:b/>
          <w:i w:val="0"/>
        </w:rPr>
        <w:t>9. Capítulo XV. Medidas administrativas, fiscalização e contraordenações</w:t>
      </w:r>
    </w:p>
    <w:p>
      <w:pPr>
        <w:spacing w:after="0"/>
        <w:ind w:left="567"/>
      </w:pPr>
      <w:r>
        <w:rPr>
          <w:b w:val="0"/>
          <w:i w:val="0"/>
        </w:rPr>
        <w:t>SAN-03. A apreensão provisória serve só as contraordenações e admite devolver os animais ao local de origem (art. 139.º)</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TIT-21,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BEM-02.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TIT-21).</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TIT-21</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SAN-02.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FIN-01)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 SAN-03, TIT-21</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pPr>
        <w:pStyle w:val="Heading2"/>
      </w:pPr>
      <w:r>
        <w:rPr>
          <w:i w:val="0"/>
          <w:color w:val="000000"/>
        </w:rPr>
        <w:t>TIT-21.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BEM-02, TIT-05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SAN-03.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e do DL 265/2007.</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TIT-21, SAN-01</w:t>
            </w:r>
          </w:p>
        </w:tc>
      </w:tr>
    </w:tbl>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com a gravidade que hoje tem no DL 276/2001 (art. 68.º, n.º 2, al. d)),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6"/>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BEM-02</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SAN-02</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TIT-21</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SAN-03</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48 fichas, das quais 44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24</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3</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47</w:t>
            </w:r>
          </w:p>
        </w:tc>
        <w:tc>
          <w:tcPr>
            <w:tcW w:w="1701" w:type="dxa"/>
          </w:tcPr>
          <w:p>
            <w:pPr>
              <w:spacing w:after="60"/>
            </w:pPr>
            <w:r/>
            <w:r>
              <w:rPr>
                <w:b/>
                <w:sz w:val="20"/>
              </w:rPr>
              <w:t>106</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BEM-02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 TIT-21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SAN-02,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SAN-02, TIT-21, BEM-02,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 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(21)</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(10)</w:t>
      </w:r>
    </w:p>
    <w:p>
      <w:pPr>
        <w:spacing w:after="20"/>
        <w:ind w:left="454"/>
      </w:pPr>
      <w:r>
        <w:rPr>
          <w:b w:val="0"/>
          <w:i w:val="0"/>
        </w:rPr>
        <w:t>REG-01. Duas normas diferentes sobre que espécies são animais de companhia (art. 2.º, cap. I)</w:t>
      </w:r>
    </w:p>
    <w:p>
      <w:pPr>
        <w:spacing w:after="20"/>
        <w:ind w:left="454"/>
      </w:pPr>
      <w:r>
        <w:rPr>
          <w:b w:val="0"/>
          <w:i w:val="0"/>
        </w:rPr>
        <w:t>BEM-02. Nada sobre animais de companhia em acidente grave ou catástrofe (art. 25.º,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SAN-03. A apreensão provisória serve só as contraordenações e admite devolver os animais ao local de origem (art. 139.º, cap. XV)</w:t>
      </w:r>
    </w:p>
    <w:p>
      <w:pPr>
        <w:pStyle w:val="Heading2"/>
      </w:pPr>
      <w:r>
        <w:rPr>
          <w:i w:val="0"/>
          <w:color w:val="000000"/>
        </w:rPr>
        <w:t>EST. Estabelecimentos e operadores (3)</w:t>
      </w:r>
    </w:p>
    <w:p>
      <w:pPr>
        <w:spacing w:after="20"/>
        <w:ind w:left="454"/>
      </w:pPr>
      <w:r>
        <w:rPr>
          <w:b w:val="0"/>
          <w:i w:val="0"/>
        </w:rPr>
        <w:t>TIT-12. Redação por decidir no art. 22.º (art. 22.º, cap. IV)</w:t>
      </w:r>
    </w:p>
    <w:p>
      <w:pPr>
        <w:spacing w:after="20"/>
        <w:ind w:left="454"/>
      </w:pPr>
      <w:r>
        <w:rPr>
          <w:b w:val="0"/>
          <w:i w:val="0"/>
        </w:rPr>
        <w:t>BEM-02. Nada sobre animais de companhia em acidente grave ou catástrofe (art. 25.º, cap. IV)</w:t>
      </w:r>
    </w:p>
    <w:p>
      <w:pPr>
        <w:spacing w:after="20"/>
        <w:ind w:left="454"/>
      </w:pPr>
      <w:r>
        <w:rPr>
          <w:b w:val="0"/>
          <w:i w:val="0"/>
        </w:rPr>
        <w:t>SAN-01. Os deveres dos CRO e o relatório anual ficam sem coima (art. 140.º, cap. XV)</w:t>
      </w:r>
    </w:p>
    <w:p>
      <w:pPr>
        <w:pStyle w:val="Heading2"/>
      </w:pPr>
      <w:r>
        <w:rPr>
          <w:i w:val="0"/>
          <w:color w:val="000000"/>
        </w:rPr>
        <w:t>SAN. Fiscalização e contraordenações (6)</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SAN-03. A apreensão provisória serve só as contraordenações e admite devolver os animais ao local de origem (art. 139.º, cap. XV)</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(4)</w:t>
      </w:r>
    </w:p>
    <w:p>
      <w:pPr>
        <w:spacing w:after="20"/>
        <w:ind w:left="454"/>
      </w:pPr>
      <w:r>
        <w:rPr>
          <w:b w:val="0"/>
          <w:i w:val="0"/>
        </w:rPr>
        <w:t>BEM-01. A amarração no domicílio fica sem duração máxima nem requisitos verificáveis (art. 19.º, cap. II)</w:t>
      </w:r>
    </w:p>
    <w:p>
      <w:pPr>
        <w:spacing w:after="20"/>
        <w:ind w:left="454"/>
      </w:pPr>
      <w:r>
        <w:rPr>
          <w:b w:val="0"/>
          <w:i w:val="0"/>
        </w:rPr>
        <w:t>BEM-02. Nada sobre animais de companhia em acidente grave ou catástrofe (art. 25.º,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FIN-01. A revogação total da Lei 92/95 apaga normas que não tratam de animais de companhia (art. 149.º, cap. XVI)</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r>
        <w:tc>
          <w:tcPr>
            <w:tcW w:w="1247" w:type="dxa"/>
          </w:tcPr>
          <w:p>
            <w:pPr>
              <w:spacing w:after="60"/>
            </w:pPr>
            <w:r/>
            <w:r>
              <w:rPr>
                <w:b w:val="0"/>
                <w:sz w:val="20"/>
              </w:rPr>
              <w:t>G-01</w:t>
            </w:r>
          </w:p>
        </w:tc>
        <w:tc>
          <w:tcPr>
            <w:tcW w:w="1247" w:type="dxa"/>
          </w:tcPr>
          <w:p>
            <w:pPr>
              <w:spacing w:after="60"/>
            </w:pPr>
            <w:r/>
            <w:r>
              <w:rPr>
                <w:b w:val="0"/>
                <w:sz w:val="20"/>
              </w:rPr>
              <w:t>P-45</w:t>
            </w:r>
          </w:p>
        </w:tc>
        <w:tc>
          <w:tcPr>
            <w:tcW w:w="1474" w:type="dxa"/>
          </w:tcPr>
          <w:p>
            <w:pPr>
              <w:spacing w:after="60"/>
            </w:pPr>
            <w:r/>
            <w:r>
              <w:rPr>
                <w:b w:val="0"/>
                <w:sz w:val="20"/>
              </w:rPr>
              <w:t>SAN-02</w:t>
            </w:r>
          </w:p>
        </w:tc>
        <w:tc>
          <w:tcPr>
            <w:tcW w:w="5102" w:type="dxa"/>
          </w:tcPr>
          <w:p>
            <w:pPr>
              <w:spacing w:after="60"/>
            </w:pPr>
            <w:r/>
            <w:r>
              <w:rPr>
                <w:b w:val="0"/>
                <w:sz w:val="20"/>
              </w:rPr>
              <w:t>A recolha por razões de bem-estar passa da DGAV para as câmaras e o destino para o médico veterinário municipal</w:t>
            </w:r>
          </w:p>
        </w:tc>
      </w:tr>
      <w:tr>
        <w:tc>
          <w:tcPr>
            <w:tcW w:w="1247" w:type="dxa"/>
          </w:tcPr>
          <w:p>
            <w:pPr>
              <w:spacing w:after="60"/>
            </w:pPr>
            <w:r/>
            <w:r>
              <w:rPr>
                <w:b w:val="0"/>
                <w:sz w:val="20"/>
              </w:rPr>
              <w:t>G-02</w:t>
            </w:r>
          </w:p>
        </w:tc>
        <w:tc>
          <w:tcPr>
            <w:tcW w:w="1247" w:type="dxa"/>
          </w:tcPr>
          <w:p>
            <w:pPr>
              <w:spacing w:after="60"/>
            </w:pPr>
            <w:r/>
            <w:r>
              <w:rPr>
                <w:b w:val="0"/>
                <w:sz w:val="20"/>
              </w:rPr>
              <w:t>P-46</w:t>
            </w:r>
          </w:p>
        </w:tc>
        <w:tc>
          <w:tcPr>
            <w:tcW w:w="1474" w:type="dxa"/>
          </w:tcPr>
          <w:p>
            <w:pPr>
              <w:spacing w:after="60"/>
            </w:pPr>
            <w:r/>
            <w:r>
              <w:rPr>
                <w:b w:val="0"/>
                <w:sz w:val="20"/>
              </w:rPr>
              <w:t>TIT-21</w:t>
            </w:r>
          </w:p>
        </w:tc>
        <w:tc>
          <w:tcPr>
            <w:tcW w:w="5102" w:type="dxa"/>
          </w:tcPr>
          <w:p>
            <w:pPr>
              <w:spacing w:after="60"/>
            </w:pPr>
            <w:r/>
            <w:r>
              <w:rPr>
                <w:b w:val="0"/>
                <w:sz w:val="20"/>
              </w:rPr>
              <w:t>A presunção de abandono aos 15 dias não ressalva animais apreendidos nem animais socorridos em emergência</w:t>
            </w:r>
          </w:p>
        </w:tc>
      </w:tr>
      <w:tr>
        <w:tc>
          <w:tcPr>
            <w:tcW w:w="1247" w:type="dxa"/>
          </w:tcPr>
          <w:p>
            <w:pPr>
              <w:spacing w:after="60"/>
            </w:pPr>
            <w:r/>
            <w:r>
              <w:rPr>
                <w:b w:val="0"/>
                <w:sz w:val="20"/>
              </w:rPr>
              <w:t>S-02</w:t>
            </w:r>
          </w:p>
        </w:tc>
        <w:tc>
          <w:tcPr>
            <w:tcW w:w="1247" w:type="dxa"/>
          </w:tcPr>
          <w:p>
            <w:pPr>
              <w:spacing w:after="60"/>
            </w:pPr>
            <w:r/>
            <w:r>
              <w:rPr>
                <w:b w:val="0"/>
                <w:sz w:val="20"/>
              </w:rPr>
              <w:t>P-47</w:t>
            </w:r>
          </w:p>
        </w:tc>
        <w:tc>
          <w:tcPr>
            <w:tcW w:w="1474" w:type="dxa"/>
          </w:tcPr>
          <w:p>
            <w:pPr>
              <w:spacing w:after="60"/>
            </w:pPr>
            <w:r/>
            <w:r>
              <w:rPr>
                <w:b w:val="0"/>
                <w:sz w:val="20"/>
              </w:rPr>
              <w:t>SAN-03</w:t>
            </w:r>
          </w:p>
        </w:tc>
        <w:tc>
          <w:tcPr>
            <w:tcW w:w="5102" w:type="dxa"/>
          </w:tcPr>
          <w:p>
            <w:pPr>
              <w:spacing w:after="60"/>
            </w:pPr>
            <w:r/>
            <w:r>
              <w:rPr>
                <w:b w:val="0"/>
                <w:sz w:val="20"/>
              </w:rPr>
              <w:t>A apreensão provisória serve só as contraordenações e admite devolver os animais ao local de origem</w:t>
            </w:r>
          </w:p>
        </w:tc>
      </w:tr>
      <w:tr>
        <w:tc>
          <w:tcPr>
            <w:tcW w:w="1247" w:type="dxa"/>
          </w:tcPr>
          <w:p>
            <w:pPr>
              <w:spacing w:after="60"/>
            </w:pPr>
            <w:r/>
            <w:r>
              <w:rPr>
                <w:b w:val="0"/>
                <w:sz w:val="20"/>
              </w:rPr>
              <w:t>E-01</w:t>
            </w:r>
          </w:p>
        </w:tc>
        <w:tc>
          <w:tcPr>
            <w:tcW w:w="1247" w:type="dxa"/>
          </w:tcPr>
          <w:p>
            <w:pPr>
              <w:spacing w:after="60"/>
            </w:pPr>
            <w:r/>
            <w:r>
              <w:rPr>
                <w:b w:val="0"/>
                <w:sz w:val="20"/>
              </w:rPr>
              <w:t>P-48</w:t>
            </w:r>
          </w:p>
        </w:tc>
        <w:tc>
          <w:tcPr>
            <w:tcW w:w="1474" w:type="dxa"/>
          </w:tcPr>
          <w:p>
            <w:pPr>
              <w:spacing w:after="60"/>
            </w:pPr>
            <w:r/>
            <w:r>
              <w:rPr>
                <w:b w:val="0"/>
                <w:sz w:val="20"/>
              </w:rPr>
              <w:t>BEM-02</w:t>
            </w:r>
          </w:p>
        </w:tc>
        <w:tc>
          <w:tcPr>
            <w:tcW w:w="5102" w:type="dxa"/>
          </w:tcPr>
          <w:p>
            <w:pPr>
              <w:spacing w:after="60"/>
            </w:pPr>
            <w:r/>
            <w:r>
              <w:rPr>
                <w:b w:val="0"/>
                <w:sz w:val="20"/>
              </w:rPr>
              <w:t>Nada sobre animais de companhia em acidente grave ou catástrofe</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29">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0">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1">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2">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3">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4">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5">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6">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7">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8">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9">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0">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1">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2">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6">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7">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8">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9">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0">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1">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2">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3">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4">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5">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1.22.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files.diariodarepublica.pt/2s/2022/02/031000000/0030000303.pdf" TargetMode="External"/><Relationship Id="rId30" Type="http://schemas.openxmlformats.org/officeDocument/2006/relationships/hyperlink" Target="https://anmp.pt/file-viewer/?pstid=41508" TargetMode="External"/><Relationship Id="rId31"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2"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3" Type="http://schemas.openxmlformats.org/officeDocument/2006/relationships/hyperlink" Target="https://www.icnf.pt/api/file/doc/41f8f44aee23be1a" TargetMode="External"/><Relationship Id="rId34" Type="http://schemas.openxmlformats.org/officeDocument/2006/relationships/hyperlink" Target="https://www.dgav.pt/wp-content/uploads/2021/08/Relatorio-FINAL-avaliacao-da-implementacao-da-Lei-27-2016.pdf" TargetMode="External"/><Relationship Id="rId35" Type="http://schemas.openxmlformats.org/officeDocument/2006/relationships/hyperlink" Target="https://www.provedor-jus.pt/documentos/082A_96.pdf" TargetMode="External"/><Relationship Id="rId36" Type="http://schemas.openxmlformats.org/officeDocument/2006/relationships/hyperlink" Target="https://www.provedor-jus.pt/documentos/canideos-captura-alojamento-e-abate/" TargetMode="External"/><Relationship Id="rId37" Type="http://schemas.openxmlformats.org/officeDocument/2006/relationships/hyperlink" Target="https://www.provedor-jus.pt/documentos/ambiente-salubridade-habitacao-acumulacao-de-residuos-saude-mental-sindrome-de-diogenes-004-a-2013/" TargetMode="External"/><Relationship Id="rId38" Type="http://schemas.openxmlformats.org/officeDocument/2006/relationships/hyperlink" Target="https://www.provedor-jus.pt/documentos/Relat2020%20_Relatorio.pdf" TargetMode="External"/><Relationship Id="rId39" Type="http://schemas.openxmlformats.org/officeDocument/2006/relationships/hyperlink" Target="https://www.provedor-jus.pt/documentos/Relatorio%202023.pdf" TargetMode="External"/><Relationship Id="rId40" Type="http://schemas.openxmlformats.org/officeDocument/2006/relationships/hyperlink" Target="https://food.ec.europa.eu/document/download/caf8cd1d-967a-4e60-a0e5-19401be1c6b3_en?filename=aw_awp_leg_dog-cat_swd-2024-88.pdf" TargetMode="External"/><Relationship Id="rId41" Type="http://schemas.openxmlformats.org/officeDocument/2006/relationships/hyperlink" Target="https://www.woah.org/fileadmin/Home/eng/Health_standards/tahc/2023/chapitre_aw_stray_dog.pdf" TargetMode="External"/><Relationship Id="rId42" Type="http://schemas.openxmlformats.org/officeDocument/2006/relationships/hyperlink" Target="https://www.dgav.pt/wp-content/uploads/2026/03/Relatorio_CROs_2025_31032026-rev.pdf" TargetMode="External"/><Relationship Id="rId43" Type="http://schemas.openxmlformats.org/officeDocument/2006/relationships/hyperlink" Target="https://www.omv.pt/dmdocuments/vi_formacao_omv/abandono_animais_camv_ultimoparecer_nov2015.pdf" TargetMode="External"/><Relationship Id="rId4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5" Type="http://schemas.openxmlformats.org/officeDocument/2006/relationships/hyperlink" Target="https://apmveac.pt/wp-content/uploads/2021/04/Legislacao.Animais.Companhia_09-04-2021-amarelo-final-.pdf" TargetMode="External"/><Relationship Id="rId46" Type="http://schemas.openxmlformats.org/officeDocument/2006/relationships/hyperlink" Target="https://apmveac.pt/wp-content/uploads/2023/09/Parecer-APMVEAC-Consulta-Publica-ENAE.pdf" TargetMode="External"/><Relationship Id="rId47" Type="http://schemas.openxmlformats.org/officeDocument/2006/relationships/hyperlink" Target="https://www.arpa-associacao.pt/media/attachments/2022/12/14/parecer-arpa-versAo-4-final.pdf" TargetMode="External"/><Relationship Id="rId48" Type="http://schemas.openxmlformats.org/officeDocument/2006/relationships/hyperlink" Target="https://www.spea.pt/wp-content/uploads/2020/09/ParecerSPEA_Planos-Gestao-Parques-Naturais-Ilha-2020.pdf" TargetMode="External"/><Relationship Id="rId49" Type="http://schemas.openxmlformats.org/officeDocument/2006/relationships/hyperlink" Target="https://spea.pt/um-gato-feliz-e-alimentado-mantem-o-passarinho-afastado/" TargetMode="External"/><Relationship Id="rId50" Type="http://schemas.openxmlformats.org/officeDocument/2006/relationships/hyperlink" Target="https://matilhascoimbra.pt/pages/projecto-2" TargetMode="External"/><Relationship Id="rId51" Type="http://schemas.openxmlformats.org/officeDocument/2006/relationships/hyperlink" Target="https://www.pan.com.pt/pan-destaca-vitorias-no-bem-estar-animal-mas-denuncia-retrocesso-grave-no-orcamento-do-estado-para-2026/" TargetMode="External"/><Relationship Id="rId52" Type="http://schemas.openxmlformats.org/officeDocument/2006/relationships/hyperlink" Target="https://www.pcp.pt/solucao-prevencao-pela-esterilizacao-rede-publica-de-veterinarios-nao-abate-de-animais-abandonados" TargetMode="External"/><Relationship Id="rId53" Type="http://schemas.openxmlformats.org/officeDocument/2006/relationships/hyperlink" Target="https://www.pcp.pt/campanha-nacional-de-esterilizacao-de-animais-errantes-0" TargetMode="External"/><Relationship Id="rId54" Type="http://schemas.openxmlformats.org/officeDocument/2006/relationships/hyperlink" Target="https://programa.partidolivre.pt/propostas/N.13/" TargetMode="External"/><Relationship Id="rId55" Type="http://schemas.openxmlformats.org/officeDocument/2006/relationships/hyperlink" Target="https://maratonapelosanimais.pt/wp-content/uploads/2024/03/respostas-completas.pdf" TargetMode="External"/><Relationship Id="rId56" Type="http://schemas.openxmlformats.org/officeDocument/2006/relationships/hyperlink" Target="https://www.cidp.pt/revistas/rjlb/2019/2/2019_02_0077_0095.pdf" TargetMode="External"/><Relationship Id="rId57" Type="http://schemas.openxmlformats.org/officeDocument/2006/relationships/hyperlink" Target="https://www.cidp.pt/revistas/rjlb/2019/2/2019_02_0305_0348.pdf" TargetMode="External"/><Relationship Id="rId58" Type="http://schemas.openxmlformats.org/officeDocument/2006/relationships/hyperlink" Target="https://cej.justica.gov.pt/LinkClick.aspx?fileticket=VpuQj7jZ-us%3D&amp;portalid=30" TargetMode="External"/><Relationship Id="rId59" Type="http://schemas.openxmlformats.org/officeDocument/2006/relationships/hyperlink" Target="https://jurisprudencia.pt/acordao/76412/" TargetMode="External"/><Relationship Id="rId60" Type="http://schemas.openxmlformats.org/officeDocument/2006/relationships/hyperlink" Target="https://trc.pt/responsabilidade-civil-danos-causados-por-animais-dever-de-vigilancia/" TargetMode="External"/><Relationship Id="rId61" Type="http://schemas.openxmlformats.org/officeDocument/2006/relationships/hyperlink" Target="https://jurisprudencia.pt/acordao/128487/" TargetMode="External"/><Relationship Id="rId62" Type="http://schemas.openxmlformats.org/officeDocument/2006/relationships/hyperlink" Target="https://www.tribunalconstitucional.pt/tc/acordaos/20210867.html" TargetMode="External"/><Relationship Id="rId63" Type="http://schemas.openxmlformats.org/officeDocument/2006/relationships/hyperlink" Target="https://www.tribunalconstitucional.pt/tc/acordaos/20240070.html" TargetMode="External"/><Relationship Id="rId64" Type="http://schemas.openxmlformats.org/officeDocument/2006/relationships/hyperlink" Target="https://jurisprudencia.pt/acordao/221373/" TargetMode="External"/><Relationship Id="rId65" Type="http://schemas.openxmlformats.org/officeDocument/2006/relationships/hyperlink" Target="https://www.tribunalconstitucional.pt/tc/acordaos/20240478.html" TargetMode="External"/><Relationship Id="rId66" Type="http://schemas.openxmlformats.org/officeDocument/2006/relationships/hyperlink" Target="https://www.dgsi.pt/jtrl.nsf/33182fc732316039802565fa00497eec/7462ba7a0546bac680258c8b0049a31e?OpenDocument" TargetMode="External"/><Relationship Id="rId67" Type="http://schemas.openxmlformats.org/officeDocument/2006/relationships/hyperlink" Target="https://www.dgsi.pt/jtrp.nsf/56a6e7121657f91e80257cda00381fdf/703e8b815ea39ece80258b34004b8157" TargetMode="External"/><Relationship Id="rId68" Type="http://schemas.openxmlformats.org/officeDocument/2006/relationships/hyperlink" Target="https://www.nature.com/articles/ncomms2380" TargetMode="External"/><Relationship Id="rId69" Type="http://schemas.openxmlformats.org/officeDocument/2006/relationships/hyperlink" Target="https://doi.org/10.2460/javma.2005.227.1775" TargetMode="External"/><Relationship Id="rId70" Type="http://schemas.openxmlformats.org/officeDocument/2006/relationships/hyperlink" Target="https://www.frontiersin.org/journals/veterinary-science/articles/10.3389/fvets.2019.00238/full" TargetMode="External"/><Relationship Id="rId71" Type="http://schemas.openxmlformats.org/officeDocument/2006/relationships/hyperlink" Target="https://www.frontiersin.org/journals/veterinary-science/articles/10.3389/fvets.2019.00077/full" TargetMode="External"/><Relationship Id="rId72" Type="http://schemas.openxmlformats.org/officeDocument/2006/relationships/hyperlink" Target="https://doi.org/10.1093/jel/eqz035" TargetMode="External"/><Relationship Id="rId73" Type="http://schemas.openxmlformats.org/officeDocument/2006/relationships/hyperlink" Target="https://pmc.ncbi.nlm.nih.gov/articles/PMC9169806/" TargetMode="External"/><Relationship Id="rId74" Type="http://schemas.openxmlformats.org/officeDocument/2006/relationships/hyperlink" Target="https://pmc.ncbi.nlm.nih.gov/articles/PMC11939513/" TargetMode="External"/><Relationship Id="rId75" Type="http://schemas.openxmlformats.org/officeDocument/2006/relationships/hyperlink" Target="https://dspace.uevora.pt/rdpc/bitstream/10174/38522/1/Gal%C3%A3o%20et%20al_2025_When%20pets%20go%20wild.pdf" TargetMode="External"/><Relationship Id="rId7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