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Regulamento 2023/0447</w:t>
              <w:br/>
            </w: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before="120" w:after="0"/>
              <w:ind w:left="8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before="120" w:after="0"/>
              <w:ind w:left="8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before="120" w:after="0"/>
              <w:ind w:left="8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RGBEAC (proposta, jun. 2025)</w:t>
              <w:br/>
            </w:r>
            <w:r>
              <w:rPr>
                <w:rFonts w:ascii="Calibri" w:hAnsi="Calibri"/>
                <w:b w:val="0"/>
                <w:i w:val="0"/>
                <w:color w:val="222222"/>
                <w:sz w:val="19"/>
              </w:rPr>
              <w:t>1 — A identificação dos animais de companhia, pela sua marcação, quando aplicável, e registo no SIAC, deve ser realizada:</w:t>
            </w:r>
          </w:p>
          <w:p>
            <w:pPr>
              <w:spacing w:before="120" w:after="0"/>
              <w:ind w:left="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before="120" w:after="0"/>
              <w:ind w:left="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before="120" w:after="0"/>
              <w:ind w:left="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53.º do Código do Animal (DL n.º 214/2013)</w:t>
              <w:br/>
            </w:r>
            <w:r>
              <w:rPr>
                <w:rFonts w:ascii="Calibri" w:hAnsi="Calibri"/>
                <w:b w:val="0"/>
                <w:i w:val="0"/>
                <w:color w:val="222222"/>
                <w:sz w:val="19"/>
              </w:rPr>
              <w:t>1 — Todos os cães devem ser identificados e registados, entre os três e os seis meses de idade.</w:t>
            </w:r>
          </w:p>
          <w:p>
            <w:pPr>
              <w:spacing w:before="120" w:after="0"/>
              <w:ind w:left="8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before="120" w:after="0"/>
              <w:ind w:left="80"/>
            </w:pPr>
            <w:r>
              <w:rPr>
                <w:rFonts w:ascii="Calibri" w:hAnsi="Calibri"/>
                <w:b w:val="0"/>
                <w:i w:val="0"/>
                <w:color w:val="222222"/>
                <w:sz w:val="19"/>
              </w:rPr>
              <w:t>4 — Os cães e gatos são identificados através de método electrónico e registados na base de dados nacional.</w:t>
            </w:r>
          </w:p>
          <w:p>
            <w:pPr>
              <w:spacing w:before="120" w:after="0"/>
              <w:ind w:left="8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5.º do DL n.º 82/2019, de 27 de junho</w:t>
              <w:br/>
            </w:r>
            <w:r>
              <w:rPr>
                <w:rFonts w:ascii="Calibri" w:hAnsi="Calibri"/>
                <w:b w:val="0"/>
                <w:i w:val="0"/>
                <w:color w:val="222222"/>
                <w:sz w:val="19"/>
              </w:rPr>
              <w:t>1 — A identificação dos animais de companhia, pela sua marcação e registo no SIAC, deve ser realizada até 120 dias após o seu nascimento.</w:t>
            </w:r>
          </w:p>
          <w:p>
            <w:pPr>
              <w:spacing w:before="120" w:after="0"/>
              <w:ind w:left="8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before="120" w:after="0"/>
              <w:ind w:left="8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before="120" w:after="0"/>
              <w:ind w:left="8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before="120" w:after="0"/>
              <w:ind w:left="8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before="120" w:after="0"/>
              <w:ind w:left="8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fixa o prazo de identificação em 3 meses para nascimentos e 30 dias para entrada em estabelecimentos. O @codigo fixa entre 3 e 6 meses, sem distinguir o contexto de estabelecimento. O @rgbeac alinha com o @regulamento mas aplica-se apenas a cães, gatos e furões.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6.º do Regulamento 2023/0447</w:t>
              <w:br/>
            </w: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before="120" w:after="0"/>
              <w:ind w:left="8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a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7.º do DL n.º 276/2001, de 17 de outubro</w:t>
              <w:br/>
            </w: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before="120" w:after="0"/>
              <w:ind w:left="8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before="120" w:after="0"/>
              <w:ind w:left="8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especifica o limite de 5 animais por família de acolhimento e atribui responsabilidade ao operador (não à família). O @rgbeac e o @codigo centram a responsabilidade no detentor individual, sem distinguir o contexto de acolhimento temporário nem fixar limites numéricos.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7.º do Regulamento 2023/0447</w:t>
              <w:br/>
            </w:r>
            <w:r>
              <w:rPr>
                <w:rFonts w:ascii="Calibri" w:hAnsi="Calibri"/>
                <w:b w:val="0"/>
                <w:i w:val="0"/>
                <w:color w:val="222222"/>
                <w:sz w:val="19"/>
              </w:rPr>
              <w:t>Operators shall notify the competent authorities of their activity, providing at least the following information:</w:t>
            </w:r>
          </w:p>
          <w:p>
            <w:pPr>
              <w:spacing w:before="120" w:after="0"/>
              <w:ind w:left="80"/>
            </w:pPr>
            <w:r>
              <w:rPr>
                <w:rFonts w:ascii="Calibri" w:hAnsi="Calibri"/>
                <w:b w:val="0"/>
                <w:i w:val="0"/>
                <w:color w:val="222222"/>
                <w:sz w:val="19"/>
              </w:rPr>
              <w:t>(a) name, address and contact details of the operator;</w:t>
              <w:br/>
              <w:t>(b) the location(s) of the establishment(s);</w:t>
              <w:br/>
              <w:t>(c) the type(s) of establishment: breeding establishment, selling establishment, shelter or foster home;</w:t>
              <w:br/>
              <w:t>(d) the species and, for breeding establishments, the breeds of the dogs or cats kept in the establishment(s);</w:t>
              <w:br/>
              <w:t>(e) the capacity of the establishment expressed as the maximum number of dogs and cats which can be kept in the establishment(s);</w:t>
              <w:br/>
              <w:t>(ea) for breeding establishments, the estimated number of litters to be placed on the market per year.</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43.º do RGBEAC (proposta, jun. 2025)</w:t>
              <w:br/>
            </w:r>
            <w:r>
              <w:rPr>
                <w:rFonts w:ascii="Calibri" w:hAnsi="Calibri"/>
                <w:b w:val="0"/>
                <w:i w:val="0"/>
                <w:color w:val="222222"/>
                <w:sz w:val="19"/>
              </w:rPr>
              <w:t>1 — Os centros de bem-estar animal procedem à esterilização dos animais recolhidos que se presuma terem sido abandonados, nos termos do artigo 41.º.</w:t>
            </w:r>
          </w:p>
          <w:p>
            <w:pPr>
              <w:spacing w:before="120" w:after="0"/>
              <w:ind w:left="8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before="120" w:after="0"/>
              <w:ind w:left="8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8.º do Código do Animal (DL n.º 214/2013)</w:t>
              <w:br/>
            </w:r>
            <w:r>
              <w:rPr>
                <w:rFonts w:ascii="Calibri" w:hAnsi="Calibri"/>
                <w:b w:val="0"/>
                <w:i w:val="0"/>
                <w:color w:val="222222"/>
                <w:sz w:val="19"/>
              </w:rPr>
              <w:t>1 — A reprodução de animais deve ser realizada de forma planeada.</w:t>
            </w:r>
          </w:p>
          <w:p>
            <w:pPr>
              <w:spacing w:before="120" w:after="0"/>
              <w:ind w:left="80"/>
            </w:pP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1 do art.º 3.º-A do DL n.º 276/2001, de 17 de outubro</w:t>
              <w:br/>
            </w: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before="120" w:after="0"/>
              <w:ind w:left="80"/>
            </w:pPr>
            <w:r>
              <w:rPr>
                <w:rFonts w:ascii="Calibri" w:hAnsi="Calibri"/>
                <w:b w:val="0"/>
                <w:i w:val="0"/>
                <w:color w:val="222222"/>
                <w:sz w:val="19"/>
              </w:rPr>
              <w:t>a) O nome ou a denominação social do interessado;</w:t>
              <w:br/>
              <w:t>b) A localização do alojamento e a sua designação comercial;</w:t>
              <w:br/>
              <w:t>c) O número de identificação fiscal ou de pessoa coletiva do interessado;</w:t>
              <w:br/>
              <w:t>d) Municípios integrantes, no caso dos centros de recolha intermunicipais;</w:t>
              <w:br/>
              <w:t>e) Caracterização das atividades a exercer;</w:t>
              <w:br/>
              <w:t>f) Indicação do médico veterinário responsável pelo alojamento;</w:t>
              <w:br/>
              <w:t>g) O número de celas de quarentena para isolamento de animais por suspeita de raiva, no caso dos centros de recolha;</w:t>
              <w:br/>
              <w:t>h) A capacidade máxima de animais e respetivas espécies a alojar;</w:t>
              <w:br/>
              <w:t>i) O número de animais detidos, espécies e raças;</w:t>
              <w:b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notificar as autoridades competentes da sua atividade, fornecendo pelo menos as seguintes informações:</w:t>
            </w:r>
          </w:p>
          <w:p>
            <w:pPr>
              <w:spacing w:before="120" w:after="0"/>
              <w:ind w:left="80"/>
            </w:pPr>
            <w:r>
              <w:rPr>
                <w:rFonts w:ascii="Calibri" w:hAnsi="Calibri"/>
                <w:b w:val="0"/>
                <w:i/>
                <w:color w:val="222222"/>
                <w:sz w:val="19"/>
              </w:rPr>
              <w:t>(a) nome, morada e contactos do operador;</w:t>
              <w:br/>
              <w:t>(b) a(s) localização(ões) do(s) estabelecimento(s);</w:t>
              <w:br/>
              <w:t>(c) o tipo de estabelecimento: criação, venda, abrigo ou família de acolhimento;</w:t>
              <w:br/>
              <w:t>(d) as espécies e, para os estabelecimentos de criação, as raças dos cães ou gatos mantidos;</w:t>
              <w:br/>
              <w:t>(e) a capacidade do estabelecimento, expressa no número máximo de cães e gatos que podem ser alojados;</w:t>
              <w:b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exige notificação prévia das autoridades com dados detalhados (capacidade, raças, ninhadas estimadas). O @codigo regula condições de reprodução mas não prevê registo ou notificação de estabelecimentos criadores. O @rgbeac trata da esterilização de errantes, não da notificação de criadores — há uma lacuna normativa face ao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