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2551"/>
          </w:tcPr>
          <w:p>
            <w:pPr>
              <w:spacing w:after="60"/>
            </w:pPr>
            <w:r/>
            <w:r>
              <w:rPr>
                <w:b/>
                <w:sz w:val="20"/>
              </w:rPr>
              <w:t>Versão do memorando</w:t>
            </w:r>
          </w:p>
        </w:tc>
        <w:tc>
          <w:tcPr>
            <w:tcW w:type="dxa" w:w="6520"/>
          </w:tcPr>
          <w:p>
            <w:pPr>
              <w:spacing w:after="60"/>
            </w:pPr>
            <w:r/>
            <w:r>
              <w:rPr>
                <w:b w:val="0"/>
                <w:sz w:val="20"/>
              </w:rPr>
              <w:t>1</w:t>
            </w:r>
          </w:p>
        </w:tc>
      </w:tr>
      <w:tr>
        <w:tc>
          <w:tcPr>
            <w:tcW w:type="dxa" w:w="2551"/>
          </w:tcPr>
          <w:p>
            <w:pPr>
              <w:spacing w:after="60"/>
            </w:pPr>
            <w:r/>
            <w:r>
              <w:rPr>
                <w:b/>
                <w:sz w:val="20"/>
              </w:rPr>
              <w:t>Data</w:t>
            </w:r>
          </w:p>
        </w:tc>
        <w:tc>
          <w:tcPr>
            <w:tcW w:type="dxa" w:w="6520"/>
          </w:tcPr>
          <w:p>
            <w:pPr>
              <w:spacing w:after="60"/>
            </w:pPr>
            <w:r/>
            <w:r>
              <w:rPr>
                <w:b w:val="0"/>
                <w:sz w:val="20"/>
              </w:rPr>
              <w:t>25.9.2026</w:t>
            </w:r>
          </w:p>
        </w:tc>
      </w:tr>
      <w:tr>
        <w:tc>
          <w:tcPr>
            <w:tcW w:type="dxa" w:w="2551"/>
          </w:tcPr>
          <w:p>
            <w:pPr>
              <w:spacing w:after="60"/>
            </w:pPr>
            <w:r/>
            <w:r>
              <w:rPr>
                <w:b/>
                <w:sz w:val="20"/>
              </w:rPr>
              <w:t>Versão do RGAC analisada</w:t>
            </w:r>
          </w:p>
        </w:tc>
        <w:tc>
          <w:tcPr>
            <w:tcW w:type="dxa" w:w="6520"/>
          </w:tcPr>
          <w:p>
            <w:pPr>
              <w:spacing w:after="60"/>
            </w:pPr>
            <w:r/>
            <w:r>
              <w:rPr>
                <w:b w:val="0"/>
                <w:sz w:val="20"/>
              </w:rPr>
              <w:t>RGAC_DAJA_REV. FORMAL_V1_Versão TRABALHO - Revisto 30-06-2026 18h00 Grupo.docx (revisão formal DAJA V1, revista pelo grupo em 30.6.2026, 18h00)</w:t>
            </w:r>
          </w:p>
        </w:tc>
      </w:tr>
      <w:tr>
        <w:tc>
          <w:tcPr>
            <w:tcW w:type="dxa" w:w="2551"/>
          </w:tcPr>
          <w:p>
            <w:pPr>
              <w:spacing w:after="60"/>
            </w:pPr>
            <w:r/>
            <w:r>
              <w:rPr>
                <w:b/>
                <w:sz w:val="20"/>
              </w:rPr>
              <w:t>Destinatário</w:t>
            </w:r>
          </w:p>
        </w:tc>
        <w:tc>
          <w:tcPr>
            <w:tcW w:type="dxa" w:w="6520"/>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«Titular»; art. 69.º, n.º 1</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type="dxa" w:w="1984"/>
          </w:tcPr>
          <w:p>
            <w:pPr>
              <w:spacing w:after="60"/>
            </w:pPr>
            <w:r/>
            <w:r>
              <w:rPr>
                <w:b/>
                <w:sz w:val="20"/>
              </w:rPr>
              <w:t>Proposta</w:t>
            </w:r>
          </w:p>
        </w:tc>
        <w:tc>
          <w:tcPr>
            <w:tcW w:type="dxa" w:w="7087"/>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type="dxa" w:w="1984"/>
          </w:tcPr>
          <w:p>
            <w:pPr>
              <w:spacing w:after="60"/>
            </w:pPr>
            <w:r/>
            <w:r>
              <w:rPr>
                <w:b/>
                <w:sz w:val="20"/>
              </w:rPr>
              <w:t>Quem levantou</w:t>
            </w:r>
          </w:p>
        </w:tc>
        <w:tc>
          <w:tcPr>
            <w:tcW w:type="dxa" w:w="7087"/>
          </w:tcPr>
          <w:p>
            <w:pPr>
              <w:spacing w:after="60"/>
            </w:pPr>
            <w:r/>
            <w:r>
              <w:rPr>
                <w:b w:val="0"/>
                <w:sz w:val="20"/>
              </w:rPr>
              <w:t>Análise interna (balanço de 25.9.2026)</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T-02, T-03</w:t>
            </w:r>
          </w:p>
        </w:tc>
      </w:tr>
    </w:tbl>
    <w:p/>
    <w:p>
      <w:pPr>
        <w:pStyle w:val="Heading2"/>
      </w:pPr>
      <w:r>
        <w:rPr>
          <w:i w:val="0"/>
          <w:color w:val="000000"/>
        </w:rPr>
        <w:t>T-02. Registo em nome de quem detém o animal e não de quem é dono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69.º, n.º 5</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type="dxa" w:w="1984"/>
          </w:tcPr>
          <w:p>
            <w:pPr>
              <w:spacing w:after="60"/>
            </w:pPr>
            <w:r/>
            <w:r>
              <w:rPr>
                <w:b/>
                <w:sz w:val="20"/>
              </w:rPr>
              <w:t>Proposta</w:t>
            </w:r>
          </w:p>
        </w:tc>
        <w:tc>
          <w:tcPr>
            <w:tcW w:type="dxa" w:w="7087"/>
          </w:tcPr>
          <w:p>
            <w:pPr>
              <w:spacing w:after="60"/>
            </w:pPr>
            <w:r/>
            <w:r>
              <w:rPr>
                <w:b w:val="0"/>
                <w:sz w:val="20"/>
              </w:rPr>
              <w:t>Substituir «detidos por» por «que sejam proprietárias de».</w:t>
            </w:r>
          </w:p>
        </w:tc>
      </w:tr>
      <w:tr>
        <w:tc>
          <w:tcPr>
            <w:tcW w:type="dxa" w:w="1984"/>
          </w:tcPr>
          <w:p>
            <w:pPr>
              <w:spacing w:after="60"/>
            </w:pPr>
            <w:r/>
            <w:r>
              <w:rPr>
                <w:b/>
                <w:sz w:val="20"/>
              </w:rPr>
              <w:t>Quem levantou</w:t>
            </w:r>
          </w:p>
        </w:tc>
        <w:tc>
          <w:tcPr>
            <w:tcW w:type="dxa" w:w="7087"/>
          </w:tcPr>
          <w:p>
            <w:pPr>
              <w:spacing w:after="60"/>
            </w:pPr>
            <w:r/>
            <w:r>
              <w:rPr>
                <w:b w:val="0"/>
                <w:sz w:val="20"/>
              </w:rPr>
              <w:t>Análise interna (confronto com o Regulamento (UE) 2026/1818)</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T-01, T-14</w:t>
            </w:r>
          </w:p>
        </w:tc>
      </w:tr>
    </w:tbl>
    <w:p/>
    <w:p>
      <w:pPr>
        <w:pStyle w:val="Heading2"/>
      </w:pPr>
      <w:r>
        <w:rPr>
          <w:i w:val="0"/>
          <w:color w:val="000000"/>
        </w:rPr>
        <w:t>T-03. Sem regra sobre o valor do registo SIAC face à propriedade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art. 5.º; art. 69.º</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type="dxa" w:w="1984"/>
          </w:tcPr>
          <w:p>
            <w:pPr>
              <w:spacing w:after="60"/>
            </w:pPr>
            <w:r/>
            <w:r>
              <w:rPr>
                <w:b/>
                <w:sz w:val="20"/>
              </w:rPr>
              <w:t>Proposta</w:t>
            </w:r>
          </w:p>
        </w:tc>
        <w:tc>
          <w:tcPr>
            <w:tcW w:type="dxa" w:w="7087"/>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type="dxa" w:w="1984"/>
          </w:tcPr>
          <w:p>
            <w:pPr>
              <w:spacing w:after="60"/>
            </w:pPr>
            <w:r/>
            <w:r>
              <w:rPr>
                <w:b/>
                <w:sz w:val="20"/>
              </w:rPr>
              <w:t>Quem levantou</w:t>
            </w:r>
          </w:p>
        </w:tc>
        <w:tc>
          <w:tcPr>
            <w:tcW w:type="dxa" w:w="7087"/>
          </w:tcPr>
          <w:p>
            <w:pPr>
              <w:spacing w:after="60"/>
            </w:pPr>
            <w:r/>
            <w:r>
              <w:rPr>
                <w:b w:val="0"/>
                <w:sz w:val="20"/>
              </w:rPr>
              <w:t>Acórdão do TRL de 30.4.2025; 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T-01</w:t>
            </w:r>
          </w:p>
        </w:tc>
      </w:tr>
    </w:tbl>
    <w:p/>
    <w:p>
      <w:pPr>
        <w:pStyle w:val="Heading2"/>
      </w:pPr>
      <w:r>
        <w:rPr>
          <w:i w:val="0"/>
          <w:color w:val="000000"/>
        </w:rPr>
        <w:t>T-04. O detentor deixa de ter de comunicar a morte do animal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76.º, n.º 2; art. 73.º, n.º 3</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type="dxa" w:w="1984"/>
          </w:tcPr>
          <w:p>
            <w:pPr>
              <w:spacing w:after="60"/>
            </w:pPr>
            <w:r/>
            <w:r>
              <w:rPr>
                <w:b/>
                <w:sz w:val="20"/>
              </w:rPr>
              <w:t>Proposta</w:t>
            </w:r>
          </w:p>
        </w:tc>
        <w:tc>
          <w:tcPr>
            <w:tcW w:type="dxa" w:w="7087"/>
          </w:tcPr>
          <w:p>
            <w:pPr>
              <w:spacing w:after="60"/>
            </w:pPr>
            <w:r/>
            <w:r>
              <w:rPr>
                <w:b w:val="0"/>
                <w:sz w:val="20"/>
              </w:rPr>
              <w:t>Art. 76.º, n.º 2: «O titular e o detentor, ou os seus representantes, devem comunicar a morte ou o desaparecimento do animal de companhia ao SIAC […]».</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73.º, n.º 7</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type="dxa" w:w="1984"/>
          </w:tcPr>
          <w:p>
            <w:pPr>
              <w:spacing w:after="60"/>
            </w:pPr>
            <w:r/>
            <w:r>
              <w:rPr>
                <w:b/>
                <w:sz w:val="20"/>
              </w:rPr>
              <w:t>Proposta</w:t>
            </w:r>
          </w:p>
        </w:tc>
        <w:tc>
          <w:tcPr>
            <w:tcW w:type="dxa" w:w="7087"/>
          </w:tcPr>
          <w:p>
            <w:pPr>
              <w:spacing w:after="60"/>
            </w:pPr>
            <w:r/>
            <w:r>
              <w:rPr>
                <w:b w:val="0"/>
                <w:sz w:val="20"/>
              </w:rPr>
              <w:t>Corrigir as remissões (n.º 3 do art. 73.º e a alínea certa do art. 140.º) e indicar a quem se presume o abandono.</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T-04, T-06</w:t>
            </w:r>
          </w:p>
        </w:tc>
      </w:tr>
    </w:tbl>
    <w:p/>
    <w:p>
      <w:pPr>
        <w:pStyle w:val="Heading2"/>
      </w:pPr>
      <w:r>
        <w:rPr>
          <w:i w:val="0"/>
          <w:color w:val="000000"/>
        </w:rPr>
        <w:t>T-06. O abandono não aparece como contraordenação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140.º; art. 3.º, definição de «Abandono»</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type="dxa" w:w="1984"/>
          </w:tcPr>
          <w:p>
            <w:pPr>
              <w:spacing w:after="60"/>
            </w:pPr>
            <w:r/>
            <w:r>
              <w:rPr>
                <w:b/>
                <w:sz w:val="20"/>
              </w:rPr>
              <w:t>Proposta</w:t>
            </w:r>
          </w:p>
        </w:tc>
        <w:tc>
          <w:tcPr>
            <w:tcW w:type="dxa" w:w="7087"/>
          </w:tcPr>
          <w:p>
            <w:pPr>
              <w:spacing w:after="60"/>
            </w:pPr>
            <w:r/>
            <w:r>
              <w:rPr>
                <w:b w:val="0"/>
                <w:sz w:val="20"/>
              </w:rPr>
              <w:t>Acrescentar ao art. 140.º a contraordenação de abandono, nos termos da definição do art. 3.º, imputável ao titular e ao detentor.</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w:t>
            </w:r>
          </w:p>
        </w:tc>
      </w:tr>
    </w:tbl>
    <w:p/>
    <w:p>
      <w:pPr>
        <w:pStyle w:val="Heading2"/>
      </w:pPr>
      <w:r>
        <w:rPr>
          <w:i w:val="0"/>
          <w:color w:val="000000"/>
        </w:rPr>
        <w:t>T-07. As portarias mantidas usam detentor no sentido antigo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149.º,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type="dxa" w:w="1984"/>
          </w:tcPr>
          <w:p>
            <w:pPr>
              <w:spacing w:after="60"/>
            </w:pPr>
            <w:r/>
            <w:r>
              <w:rPr>
                <w:b/>
                <w:sz w:val="20"/>
              </w:rPr>
              <w:t>Proposta</w:t>
            </w:r>
          </w:p>
        </w:tc>
        <w:tc>
          <w:tcPr>
            <w:tcW w:type="dxa" w:w="7087"/>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type="dxa" w:w="1984"/>
          </w:tcPr>
          <w:p>
            <w:pPr>
              <w:spacing w:after="60"/>
            </w:pPr>
            <w:r/>
            <w:r>
              <w:rPr>
                <w:b/>
                <w:sz w:val="20"/>
              </w:rPr>
              <w:t>Quem levantou</w:t>
            </w:r>
          </w:p>
        </w:tc>
        <w:tc>
          <w:tcPr>
            <w:tcW w:type="dxa" w:w="7087"/>
          </w:tcPr>
          <w:p>
            <w:pPr>
              <w:spacing w:after="60"/>
            </w:pPr>
            <w:r/>
            <w:r>
              <w:rPr>
                <w:b w:val="0"/>
                <w:sz w:val="20"/>
              </w:rPr>
              <w:t>Análise interna (validação tripla da Portaria 146/2017)</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69.º, n.ºs 3, 6 e 7</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type="dxa" w:w="1984"/>
          </w:tcPr>
          <w:p>
            <w:pPr>
              <w:spacing w:after="60"/>
            </w:pPr>
            <w:r/>
            <w:r>
              <w:rPr>
                <w:b/>
                <w:sz w:val="20"/>
              </w:rPr>
              <w:t>Proposta</w:t>
            </w:r>
          </w:p>
        </w:tc>
        <w:tc>
          <w:tcPr>
            <w:tcW w:type="dxa" w:w="7087"/>
          </w:tcPr>
          <w:p>
            <w:pPr>
              <w:spacing w:after="60"/>
            </w:pPr>
            <w:r/>
            <w:r>
              <w:rPr>
                <w:b w:val="0"/>
                <w:sz w:val="20"/>
              </w:rPr>
              <w:t>Ressalvar no n.º 6 os operadores de estabelecimentos licenciados.</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T-09. «Titular ou operador» quando o operador já é titular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«Titular»; art. 63.º, n.º 5; art. 73.º, n.º 3</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type="dxa" w:w="1984"/>
          </w:tcPr>
          <w:p>
            <w:pPr>
              <w:spacing w:after="60"/>
            </w:pPr>
            <w:r/>
            <w:r>
              <w:rPr>
                <w:b/>
                <w:sz w:val="20"/>
              </w:rPr>
              <w:t>Proposta</w:t>
            </w:r>
          </w:p>
        </w:tc>
        <w:tc>
          <w:tcPr>
            <w:tcW w:type="dxa" w:w="7087"/>
          </w:tcPr>
          <w:p>
            <w:pPr>
              <w:spacing w:after="60"/>
            </w:pPr>
            <w:r/>
            <w:r>
              <w:rPr>
                <w:b w:val="0"/>
                <w:sz w:val="20"/>
              </w:rPr>
              <w:t>Escolher uma solução: ou o operador é uma espécie de titular (e basta dizer titular), ou são figuras distintas (e a definição de titular deixa de incluir o operador).</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T-01</w:t>
            </w:r>
          </w:p>
        </w:tc>
      </w:tr>
    </w:tbl>
    <w:p/>
    <w:p>
      <w:pPr>
        <w:pStyle w:val="Heading2"/>
      </w:pPr>
      <w:r>
        <w:rPr>
          <w:i w:val="0"/>
          <w:color w:val="000000"/>
        </w:rPr>
        <w:t>T-10. Terminologia do CRO ainda não uniforme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70.º, n.ºs 8 e 9; art. 89.º, n.º 3; art. 95.º, n.º 2; art. 98.º, n.º 13; art. 99.º, n.º 1</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type="dxa" w:w="1984"/>
          </w:tcPr>
          <w:p>
            <w:pPr>
              <w:spacing w:after="60"/>
            </w:pPr>
            <w:r/>
            <w:r>
              <w:rPr>
                <w:b/>
                <w:sz w:val="20"/>
              </w:rPr>
              <w:t>Proposta</w:t>
            </w:r>
          </w:p>
        </w:tc>
        <w:tc>
          <w:tcPr>
            <w:tcW w:type="dxa" w:w="7087"/>
          </w:tcPr>
          <w:p>
            <w:pPr>
              <w:spacing w:after="60"/>
            </w:pPr>
            <w:r/>
            <w:r>
              <w:rPr>
                <w:b w:val="0"/>
                <w:sz w:val="20"/>
              </w:rPr>
              <w:t>Usar titular para quem tem direito a reclamar o animal e detentor só para quem o tem à guarda.</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bl>
    <w:p/>
    <w:p>
      <w:pPr>
        <w:pStyle w:val="Heading2"/>
      </w:pPr>
      <w:r>
        <w:rPr>
          <w:i w:val="0"/>
          <w:color w:val="000000"/>
        </w:rPr>
        <w:t>T-11. Contraordenação dirigida só aos detentores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140.º,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type="dxa" w:w="1984"/>
          </w:tcPr>
          <w:p>
            <w:pPr>
              <w:spacing w:after="60"/>
            </w:pPr>
            <w:r/>
            <w:r>
              <w:rPr>
                <w:b/>
                <w:sz w:val="20"/>
              </w:rPr>
              <w:t>Proposta</w:t>
            </w:r>
          </w:p>
        </w:tc>
        <w:tc>
          <w:tcPr>
            <w:tcW w:type="dxa" w:w="7087"/>
          </w:tcPr>
          <w:p>
            <w:pPr>
              <w:spacing w:after="60"/>
            </w:pPr>
            <w:r/>
            <w:r>
              <w:rPr>
                <w:b w:val="0"/>
                <w:sz w:val="20"/>
              </w:rPr>
              <w:t>Fixar a remissão e escrever «pelos titulares ou detentores», consoante o dever.</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T-06</w:t>
            </w:r>
          </w:p>
        </w:tc>
      </w:tr>
    </w:tbl>
    <w:p/>
    <w:p>
      <w:pPr>
        <w:pStyle w:val="Heading2"/>
      </w:pPr>
      <w:r>
        <w:rPr>
          <w:i w:val="0"/>
          <w:color w:val="000000"/>
        </w:rPr>
        <w:t>T-12. Redação por decidir no art. 22.º</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22.º, n.º 1</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texto diz «Os detentores Operadores ??de animais de companhia que se dediquem à sua reprodução, criação, manutenção ou venda». A troca de palavra ficou por decidir.</w:t>
            </w:r>
          </w:p>
        </w:tc>
      </w:tr>
      <w:tr>
        <w:tc>
          <w:tcPr>
            <w:tcW w:type="dxa" w:w="1984"/>
          </w:tcPr>
          <w:p>
            <w:pPr>
              <w:spacing w:after="60"/>
            </w:pPr>
            <w:r/>
            <w:r>
              <w:rPr>
                <w:b/>
                <w:sz w:val="20"/>
              </w:rPr>
              <w:t>Proposta</w:t>
            </w:r>
          </w:p>
        </w:tc>
        <w:tc>
          <w:tcPr>
            <w:tcW w:type="dxa" w:w="7087"/>
          </w:tcPr>
          <w:p>
            <w:pPr>
              <w:spacing w:after="60"/>
            </w:pPr>
            <w:r/>
            <w:r>
              <w:rPr>
                <w:b w:val="0"/>
                <w:sz w:val="20"/>
              </w:rPr>
              <w:t>«Os operadores que se dediquem à reprodução, criação, manutenção ou venda de animais de companhia».</w:t>
            </w:r>
          </w:p>
        </w:tc>
      </w:tr>
      <w:tr>
        <w:tc>
          <w:tcPr>
            <w:tcW w:type="dxa" w:w="1984"/>
          </w:tcPr>
          <w:p>
            <w:pPr>
              <w:spacing w:after="60"/>
            </w:pPr>
            <w:r/>
            <w:r>
              <w:rPr>
                <w:b/>
                <w:sz w:val="20"/>
              </w:rPr>
              <w:t>Quem levantou</w:t>
            </w:r>
          </w:p>
        </w:tc>
        <w:tc>
          <w:tcPr>
            <w:tcW w:type="dxa" w:w="7087"/>
          </w:tcPr>
          <w:p>
            <w:pPr>
              <w:spacing w:after="60"/>
            </w:pPr>
            <w:r/>
            <w:r>
              <w:rPr>
                <w:b w:val="0"/>
                <w:sz w:val="20"/>
              </w:rPr>
              <w:t>Análise interna (revisão de 30.6.2026, 18h00)</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T-13. Quem responde pelos danos causados pelo animal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sem norma no RGAC, salvo animais perigosos (seguro a cargo do titular)</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type="dxa" w:w="1984"/>
          </w:tcPr>
          <w:p>
            <w:pPr>
              <w:spacing w:after="60"/>
            </w:pPr>
            <w:r/>
            <w:r>
              <w:rPr>
                <w:b/>
                <w:sz w:val="20"/>
              </w:rPr>
              <w:t>Proposta</w:t>
            </w:r>
          </w:p>
        </w:tc>
        <w:tc>
          <w:tcPr>
            <w:tcW w:type="dxa" w:w="7087"/>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T-14, C-08</w:t>
            </w:r>
          </w:p>
        </w:tc>
      </w:tr>
    </w:tbl>
    <w:p/>
    <w:p>
      <w:pPr>
        <w:pStyle w:val="Heading2"/>
      </w:pPr>
      <w:r>
        <w:rPr>
          <w:i w:val="0"/>
          <w:color w:val="000000"/>
        </w:rPr>
        <w:t>T-14. Família de acolhimento sem operador fica sem enquadramento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3.º, definição de «Lar de acolhimento»; art. 41.º</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type="dxa" w:w="1984"/>
          </w:tcPr>
          <w:p>
            <w:pPr>
              <w:spacing w:after="60"/>
            </w:pPr>
            <w:r/>
            <w:r>
              <w:rPr>
                <w:b/>
                <w:sz w:val="20"/>
              </w:rPr>
              <w:t>Proposta</w:t>
            </w:r>
          </w:p>
        </w:tc>
        <w:tc>
          <w:tcPr>
            <w:tcW w:type="dxa" w:w="7087"/>
          </w:tcPr>
          <w:p>
            <w:pPr>
              <w:spacing w:after="60"/>
            </w:pPr>
            <w:r/>
            <w:r>
              <w:rPr>
                <w:b w:val="0"/>
                <w:sz w:val="20"/>
              </w:rPr>
              <w:t>Decidir se a família de acolhimento informal fica proibida ou se passa a ter um registo simples no SIAC, como detentor, com limite de animais e dever de comunicação.</w:t>
            </w:r>
          </w:p>
        </w:tc>
      </w:tr>
      <w:tr>
        <w:tc>
          <w:tcPr>
            <w:tcW w:type="dxa" w:w="1984"/>
          </w:tcPr>
          <w:p>
            <w:pPr>
              <w:spacing w:after="60"/>
            </w:pPr>
            <w:r/>
            <w:r>
              <w:rPr>
                <w:b/>
                <w:sz w:val="20"/>
              </w:rPr>
              <w:t>Quem levantou</w:t>
            </w:r>
          </w:p>
        </w:tc>
        <w:tc>
          <w:tcPr>
            <w:tcW w:type="dxa" w:w="7087"/>
          </w:tcPr>
          <w:p>
            <w:pPr>
              <w:spacing w:after="60"/>
            </w:pPr>
            <w:r/>
            <w:r>
              <w:rPr>
                <w:b w:val="0"/>
                <w:sz w:val="20"/>
              </w:rPr>
              <w:t>Estratégia Nacional para os Animais Errantes (ENAE), pp. 30-31; Contributos dos médicos veterinários municipais (6.3.2026)</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r>
        <w:tc>
          <w:tcPr>
            <w:tcW w:type="dxa" w:w="1984"/>
          </w:tcPr>
          <w:p>
            <w:pPr>
              <w:spacing w:after="60"/>
            </w:pPr>
            <w:r/>
            <w:r>
              <w:rPr>
                <w:b/>
                <w:sz w:val="20"/>
              </w:rPr>
              <w:t>Fichas relacionadas</w:t>
            </w:r>
          </w:p>
        </w:tc>
        <w:tc>
          <w:tcPr>
            <w:tcW w:type="dxa" w:w="7087"/>
          </w:tcPr>
          <w:p>
            <w:pPr>
              <w:spacing w:after="60"/>
            </w:pPr>
            <w:r/>
            <w:r>
              <w:rPr>
                <w:b w:val="0"/>
                <w:sz w:val="20"/>
              </w:rPr>
              <w:t>T-13, C-02</w:t>
            </w:r>
          </w:p>
        </w:tc>
      </w:tr>
    </w:tbl>
    <w:p/>
    <w:p>
      <w:pPr>
        <w:pStyle w:val="Heading2"/>
      </w:pPr>
      <w:r>
        <w:rPr>
          <w:i w:val="0"/>
          <w:color w:val="000000"/>
        </w:rPr>
        <w:t>T-15. Quem encontra um animal passa a poder ser punido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91.º, n.º 9; art. 140.º,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type="dxa" w:w="1984"/>
          </w:tcPr>
          <w:p>
            <w:pPr>
              <w:spacing w:after="60"/>
            </w:pPr>
            <w:r/>
            <w:r>
              <w:rPr>
                <w:b/>
                <w:sz w:val="20"/>
              </w:rPr>
              <w:t>Proposta</w:t>
            </w:r>
          </w:p>
        </w:tc>
        <w:tc>
          <w:tcPr>
            <w:tcW w:type="dxa" w:w="7087"/>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 C-16</w:t>
            </w:r>
          </w:p>
        </w:tc>
      </w:tr>
    </w:tbl>
    <w:p/>
    <w:p>
      <w:pPr>
        <w:pStyle w:val="Heading2"/>
      </w:pPr>
      <w:r>
        <w:rPr>
          <w:i w:val="0"/>
          <w:color w:val="000000"/>
        </w:rPr>
        <w:t>T-16. Detentores de facto que dizem tratar de animais errantes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sem norma no RGAC</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type="dxa" w:w="1984"/>
          </w:tcPr>
          <w:p>
            <w:pPr>
              <w:spacing w:after="60"/>
            </w:pPr>
            <w:r/>
            <w:r>
              <w:rPr>
                <w:b/>
                <w:sz w:val="20"/>
              </w:rPr>
              <w:t>Proposta</w:t>
            </w:r>
          </w:p>
        </w:tc>
        <w:tc>
          <w:tcPr>
            <w:tcW w:type="dxa" w:w="7087"/>
          </w:tcPr>
          <w:p>
            <w:pPr>
              <w:spacing w:after="60"/>
            </w:pPr>
            <w:r/>
            <w:r>
              <w:rPr>
                <w:b w:val="0"/>
                <w:sz w:val="20"/>
              </w:rPr>
              <w:t>Presunção de detenção para quem, de forma regular, aloja, alimenta ou controla o acesso aos animais num prédio de que dispõe.</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73.º, n.º 3; art. 70.º,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type="dxa" w:w="1984"/>
          </w:tcPr>
          <w:p>
            <w:pPr>
              <w:spacing w:after="60"/>
            </w:pPr>
            <w:r/>
            <w:r>
              <w:rPr>
                <w:b/>
                <w:sz w:val="20"/>
              </w:rPr>
              <w:t>Proposta</w:t>
            </w:r>
          </w:p>
        </w:tc>
        <w:tc>
          <w:tcPr>
            <w:tcW w:type="dxa" w:w="7087"/>
          </w:tcPr>
          <w:p>
            <w:pPr>
              <w:spacing w:after="60"/>
            </w:pPr>
            <w:r/>
            <w:r>
              <w:rPr>
                <w:b w:val="0"/>
                <w:sz w:val="20"/>
              </w:rPr>
              <w:t>Rever os prazos. Dispensar a prova da morte quando a morte é registada por médico veterinário. Ponderar as 72 horas para o desaparecimento.</w:t>
            </w:r>
          </w:p>
        </w:tc>
      </w:tr>
      <w:tr>
        <w:tc>
          <w:tcPr>
            <w:tcW w:type="dxa" w:w="1984"/>
          </w:tcPr>
          <w:p>
            <w:pPr>
              <w:spacing w:after="60"/>
            </w:pPr>
            <w:r/>
            <w:r>
              <w:rPr>
                <w:b/>
                <w:sz w:val="20"/>
              </w:rPr>
              <w:t>Quem levantou</w:t>
            </w:r>
          </w:p>
        </w:tc>
        <w:tc>
          <w:tcPr>
            <w:tcW w:type="dxa" w:w="7087"/>
          </w:tcPr>
          <w:p>
            <w:pPr>
              <w:spacing w:after="60"/>
            </w:pPr>
            <w:r/>
            <w:r>
              <w:rPr>
                <w:b w:val="0"/>
                <w:sz w:val="20"/>
              </w:rPr>
              <w:t>OMV (propõe 72 horas); SNMV (propõe 48 horas); Comentário DAJA ao art. 73.º («Pode se de difícil aplicabilidade»)</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T-05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1; art. 149.º, n.º 1 (revogação da Lei 27/2016)</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type="dxa" w:w="1984"/>
          </w:tcPr>
          <w:p>
            <w:pPr>
              <w:spacing w:after="60"/>
            </w:pPr>
            <w:r/>
            <w:r>
              <w:rPr>
                <w:b/>
                <w:sz w:val="20"/>
              </w:rPr>
              <w:t>Proposta</w:t>
            </w:r>
          </w:p>
        </w:tc>
        <w:tc>
          <w:tcPr>
            <w:tcW w:type="dxa" w:w="7087"/>
          </w:tcPr>
          <w:p>
            <w:pPr>
              <w:spacing w:after="60"/>
            </w:pPr>
            <w:r/>
            <w:r>
              <w:rPr>
                <w:b w:val="0"/>
                <w:sz w:val="20"/>
              </w:rPr>
              <w:t>Manter pelo menos o nível da Lei 27/2016: «as câmaras municipais asseguram, diretamente ou por protocolo, programas CED para gatos, sempre que se justifique».</w:t>
            </w:r>
          </w:p>
        </w:tc>
      </w:tr>
      <w:tr>
        <w:tc>
          <w:tcPr>
            <w:tcW w:type="dxa" w:w="1984"/>
          </w:tcPr>
          <w:p>
            <w:pPr>
              <w:spacing w:after="60"/>
            </w:pPr>
            <w:r/>
            <w:r>
              <w:rPr>
                <w:b/>
                <w:sz w:val="20"/>
              </w:rPr>
              <w:t>Quem levantou</w:t>
            </w:r>
          </w:p>
        </w:tc>
        <w:tc>
          <w:tcPr>
            <w:tcW w:type="dxa" w:w="7087"/>
          </w:tcPr>
          <w:p>
            <w:pPr>
              <w:spacing w:after="60"/>
            </w:pPr>
            <w:r/>
            <w:r>
              <w:rPr>
                <w:b w:val="0"/>
                <w:sz w:val="20"/>
              </w:rPr>
              <w:t>ENAE, p. 35 («Os programas CED não estão instituídos em todo o território»); Livre e PAN (respostas de 2024)</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w:t>
            </w:r>
          </w:p>
        </w:tc>
      </w:tr>
    </w:tbl>
    <w:p/>
    <w:p>
      <w:pPr>
        <w:pStyle w:val="Heading2"/>
      </w:pPr>
      <w:r>
        <w:rPr>
          <w:i w:val="0"/>
          <w:color w:val="000000"/>
        </w:rPr>
        <w:t>C-02. O cuidador de colónia não existe no texto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(todo); art. 3.º (sem definição)</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type="dxa" w:w="1984"/>
          </w:tcPr>
          <w:p>
            <w:pPr>
              <w:spacing w:after="60"/>
            </w:pPr>
            <w:r/>
            <w:r>
              <w:rPr>
                <w:b/>
                <w:sz w:val="20"/>
              </w:rPr>
              <w:t>Proposta</w:t>
            </w:r>
          </w:p>
        </w:tc>
        <w:tc>
          <w:tcPr>
            <w:tcW w:type="dxa" w:w="7087"/>
          </w:tcPr>
          <w:p>
            <w:pPr>
              <w:spacing w:after="60"/>
            </w:pPr>
            <w:r/>
            <w:r>
              <w:rPr>
                <w:b w:val="0"/>
                <w:sz w:val="20"/>
              </w:rPr>
              <w:t>Criar a figura do cuidador de colónia registado no SIAC, associado à colónia, como detentor em nome do município, com deveres e limites de responsabilidade definidos.</w:t>
            </w:r>
          </w:p>
        </w:tc>
      </w:tr>
      <w:tr>
        <w:tc>
          <w:tcPr>
            <w:tcW w:type="dxa" w:w="1984"/>
          </w:tcPr>
          <w:p>
            <w:pPr>
              <w:spacing w:after="60"/>
            </w:pPr>
            <w:r/>
            <w:r>
              <w:rPr>
                <w:b/>
                <w:sz w:val="20"/>
              </w:rPr>
              <w:t>Quem levantou</w:t>
            </w:r>
          </w:p>
        </w:tc>
        <w:tc>
          <w:tcPr>
            <w:tcW w:type="dxa" w:w="7087"/>
          </w:tcPr>
          <w:p>
            <w:pPr>
              <w:spacing w:after="60"/>
            </w:pPr>
            <w:r/>
            <w:r>
              <w:rPr>
                <w:b w:val="0"/>
                <w:sz w:val="20"/>
              </w:rPr>
              <w:t>ENAE, p. 35 («não está definido o conceito de "cuidador da colónia"»); Contributos dos médicos veterinários municipais (6.3.2026); PAN (figura do animal comunitário, PJL 662/XV)</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C-03, T-13, T-14</w:t>
            </w:r>
          </w:p>
        </w:tc>
      </w:tr>
    </w:tbl>
    <w:p/>
    <w:p>
      <w:pPr>
        <w:pStyle w:val="Heading2"/>
      </w:pPr>
      <w:r>
        <w:rPr>
          <w:i w:val="0"/>
          <w:color w:val="000000"/>
        </w:rPr>
        <w:t>C-03. Proibição nacional de alimentar animais na via pública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84.º, n.º 3; art. 140.º, n.º 2 («A alimentação na via pública em violação do disposto no artigo XX.º»)</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type="dxa" w:w="1984"/>
          </w:tcPr>
          <w:p>
            <w:pPr>
              <w:spacing w:after="60"/>
            </w:pPr>
            <w:r/>
            <w:r>
              <w:rPr>
                <w:b/>
                <w:sz w:val="20"/>
              </w:rPr>
              <w:t>Proposta</w:t>
            </w:r>
          </w:p>
        </w:tc>
        <w:tc>
          <w:tcPr>
            <w:tcW w:type="dxa" w:w="7087"/>
          </w:tcPr>
          <w:p>
            <w:pPr>
              <w:spacing w:after="60"/>
            </w:pPr>
            <w:r/>
            <w:r>
              <w:rPr>
                <w:b w:val="0"/>
                <w:sz w:val="20"/>
              </w:rPr>
              <w:t>Excecionar expressamente os cuidadores de colónias registadas e os pontos de alimentação previstos em plano municipal de gestão de colónias.</w:t>
            </w:r>
          </w:p>
        </w:tc>
      </w:tr>
      <w:tr>
        <w:tc>
          <w:tcPr>
            <w:tcW w:type="dxa" w:w="1984"/>
          </w:tcPr>
          <w:p>
            <w:pPr>
              <w:spacing w:after="60"/>
            </w:pPr>
            <w:r/>
            <w:r>
              <w:rPr>
                <w:b/>
                <w:sz w:val="20"/>
              </w:rPr>
              <w:t>Quem levantou</w:t>
            </w:r>
          </w:p>
        </w:tc>
        <w:tc>
          <w:tcPr>
            <w:tcW w:type="dxa" w:w="7087"/>
          </w:tcPr>
          <w:p>
            <w:pPr>
              <w:spacing w:after="60"/>
            </w:pPr>
            <w:r/>
            <w:r>
              <w:rPr>
                <w:b w:val="0"/>
                <w:sz w:val="20"/>
              </w:rPr>
              <w:t>ENAE, p. 35 («Existem regulamentos ou posturas camarárias que proíbem alimentar animais errantes»); Contributo de um médico veterinário municipal (pede coimas aos alimentadores, posição contrária)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91.º, n.º 3; art. 86.º, n.º 4; art. 140.º, n.º 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type="dxa" w:w="1984"/>
          </w:tcPr>
          <w:p>
            <w:pPr>
              <w:spacing w:after="60"/>
            </w:pPr>
            <w:r/>
            <w:r>
              <w:rPr>
                <w:b/>
                <w:sz w:val="20"/>
              </w:rPr>
              <w:t>Proposta</w:t>
            </w:r>
          </w:p>
        </w:tc>
        <w:tc>
          <w:tcPr>
            <w:tcW w:type="dxa" w:w="7087"/>
          </w:tcPr>
          <w:p>
            <w:pPr>
              <w:spacing w:after="60"/>
            </w:pPr>
            <w:r/>
            <w:r>
              <w:rPr>
                <w:b w:val="0"/>
                <w:sz w:val="20"/>
              </w:rPr>
              <w:t>Ressalvar no art. 91.º, n.º 3 as capturas feitas no âmbito de programa CED autorizado, pela entidade responsável ou por pessoas identificadas no plano de gestão.</w:t>
            </w:r>
          </w:p>
        </w:tc>
      </w:tr>
      <w:tr>
        <w:tc>
          <w:tcPr>
            <w:tcW w:type="dxa" w:w="1984"/>
          </w:tcPr>
          <w:p>
            <w:pPr>
              <w:spacing w:after="60"/>
            </w:pPr>
            <w:r/>
            <w:r>
              <w:rPr>
                <w:b/>
                <w:sz w:val="20"/>
              </w:rPr>
              <w:t>Quem levantou</w:t>
            </w:r>
          </w:p>
        </w:tc>
        <w:tc>
          <w:tcPr>
            <w:tcW w:type="dxa" w:w="7087"/>
          </w:tcPr>
          <w:p>
            <w:pPr>
              <w:spacing w:after="60"/>
            </w:pPr>
            <w:r/>
            <w:r>
              <w:rPr>
                <w:b w:val="0"/>
                <w:sz w:val="20"/>
              </w:rPr>
              <w:t>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6, al. d)</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type="dxa" w:w="1984"/>
          </w:tcPr>
          <w:p>
            <w:pPr>
              <w:spacing w:after="60"/>
            </w:pPr>
            <w:r/>
            <w:r>
              <w:rPr>
                <w:b/>
                <w:sz w:val="20"/>
              </w:rPr>
              <w:t>Proposta</w:t>
            </w:r>
          </w:p>
        </w:tc>
        <w:tc>
          <w:tcPr>
            <w:tcW w:type="dxa" w:w="7087"/>
          </w:tcPr>
          <w:p>
            <w:pPr>
              <w:spacing w:after="60"/>
            </w:pPr>
            <w:r/>
            <w:r>
              <w:rPr>
                <w:b w:val="0"/>
                <w:sz w:val="20"/>
              </w:rPr>
              <w:t>Substituir a entrega no CRO por avaliação feita pelo médico veterinário do programa, com registo no SIAC.</w:t>
            </w:r>
          </w:p>
        </w:tc>
      </w:tr>
      <w:tr>
        <w:tc>
          <w:tcPr>
            <w:tcW w:type="dxa" w:w="1984"/>
          </w:tcPr>
          <w:p>
            <w:pPr>
              <w:spacing w:after="60"/>
            </w:pPr>
            <w:r/>
            <w:r>
              <w:rPr>
                <w:b/>
                <w:sz w:val="20"/>
              </w:rPr>
              <w:t>Quem levantou</w:t>
            </w:r>
          </w:p>
        </w:tc>
        <w:tc>
          <w:tcPr>
            <w:tcW w:type="dxa" w:w="7087"/>
          </w:tcPr>
          <w:p>
            <w:pPr>
              <w:spacing w:after="60"/>
            </w:pPr>
            <w:r/>
            <w:r>
              <w:rPr>
                <w:b w:val="0"/>
                <w:sz w:val="20"/>
              </w:rPr>
              <w:t>Relatório final do GTBEA (DGAV, 2021); Projeto de revisão da Portaria 146/2017 (ANMP, 2021)</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C-06. Exclusão dos cães do CED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3</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type="dxa" w:w="1984"/>
          </w:tcPr>
          <w:p>
            <w:pPr>
              <w:spacing w:after="60"/>
            </w:pPr>
            <w:r/>
            <w:r>
              <w:rPr>
                <w:b/>
                <w:sz w:val="20"/>
              </w:rPr>
              <w:t>Proposta</w:t>
            </w:r>
          </w:p>
        </w:tc>
        <w:tc>
          <w:tcPr>
            <w:tcW w:type="dxa" w:w="7087"/>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type="dxa" w:w="1984"/>
          </w:tcPr>
          <w:p>
            <w:pPr>
              <w:spacing w:after="60"/>
            </w:pPr>
            <w:r/>
            <w:r>
              <w:rPr>
                <w:b/>
                <w:sz w:val="20"/>
              </w:rPr>
              <w:t>Quem levantou</w:t>
            </w:r>
          </w:p>
        </w:tc>
        <w:tc>
          <w:tcPr>
            <w:tcW w:type="dxa" w:w="7087"/>
          </w:tcPr>
          <w:p>
            <w:pPr>
              <w:spacing w:after="60"/>
            </w:pPr>
            <w:r/>
            <w:r>
              <w:rPr>
                <w:b w:val="0"/>
                <w:sz w:val="20"/>
              </w:rPr>
              <w:t>OMV (25.11.2025); APMVEAC (parecer set. 2023); PAN e BE (2024); Contributos dos médicos veterinários municipais (6.3.2026); FEDRA</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C-07. Remissões e numeração erradas no artigo do CED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1, 2, 5, 6 e 9; art. 86.º, n.º 6, al. e); art. 70.º, n.º 12</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type="dxa" w:w="1984"/>
          </w:tcPr>
          <w:p>
            <w:pPr>
              <w:spacing w:after="60"/>
            </w:pPr>
            <w:r/>
            <w:r>
              <w:rPr>
                <w:b/>
                <w:sz w:val="20"/>
              </w:rPr>
              <w:t>Proposta</w:t>
            </w:r>
          </w:p>
        </w:tc>
        <w:tc>
          <w:tcPr>
            <w:tcW w:type="dxa" w:w="7087"/>
          </w:tcPr>
          <w:p>
            <w:pPr>
              <w:spacing w:after="60"/>
            </w:pPr>
            <w:r/>
            <w:r>
              <w:rPr>
                <w:b w:val="0"/>
                <w:sz w:val="20"/>
              </w:rPr>
              <w:t>Renumerar, corrigir as remissões, fundir os n.ºs 2 e 9 e usar «município» nos dois artigos.</w:t>
            </w:r>
          </w:p>
        </w:tc>
      </w:tr>
      <w:tr>
        <w:tc>
          <w:tcPr>
            <w:tcW w:type="dxa" w:w="1984"/>
          </w:tcPr>
          <w:p>
            <w:pPr>
              <w:spacing w:after="60"/>
            </w:pPr>
            <w:r/>
            <w:r>
              <w:rPr>
                <w:b/>
                <w:sz w:val="20"/>
              </w:rPr>
              <w:t>Quem levantou</w:t>
            </w:r>
          </w:p>
        </w:tc>
        <w:tc>
          <w:tcPr>
            <w:tcW w:type="dxa" w:w="7087"/>
          </w:tcPr>
          <w:p>
            <w:pPr>
              <w:spacing w:after="60"/>
            </w:pPr>
            <w:r/>
            <w:r>
              <w:rPr>
                <w:b w:val="0"/>
                <w:sz w:val="20"/>
              </w:rPr>
              <w:t>Revisão editorial de 10.6.2026 (ponto B9); 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4, 5 (segundo), 6 e 10; art. 70.º, n.º 12</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type="dxa" w:w="1984"/>
          </w:tcPr>
          <w:p>
            <w:pPr>
              <w:spacing w:after="60"/>
            </w:pPr>
            <w:r/>
            <w:r>
              <w:rPr>
                <w:b/>
                <w:sz w:val="20"/>
              </w:rPr>
              <w:t>Proposta</w:t>
            </w:r>
          </w:p>
        </w:tc>
        <w:tc>
          <w:tcPr>
            <w:tcW w:type="dxa" w:w="7087"/>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type="dxa" w:w="1984"/>
          </w:tcPr>
          <w:p>
            <w:pPr>
              <w:spacing w:after="60"/>
            </w:pPr>
            <w:r/>
            <w:r>
              <w:rPr>
                <w:b/>
                <w:sz w:val="20"/>
              </w:rPr>
              <w:t>Quem levantou</w:t>
            </w:r>
          </w:p>
        </w:tc>
        <w:tc>
          <w:tcPr>
            <w:tcW w:type="dxa" w:w="7087"/>
          </w:tcPr>
          <w:p>
            <w:pPr>
              <w:spacing w:after="60"/>
            </w:pPr>
            <w:r/>
            <w:r>
              <w:rPr>
                <w:b w:val="0"/>
                <w:sz w:val="20"/>
              </w:rPr>
              <w:t>CDU (resposta de 2024); Análise interna</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T-13, C-04</w:t>
            </w:r>
          </w:p>
        </w:tc>
      </w:tr>
    </w:tbl>
    <w:p/>
    <w:p>
      <w:pPr>
        <w:pStyle w:val="Heading2"/>
      </w:pPr>
      <w:r>
        <w:rPr>
          <w:i w:val="0"/>
          <w:color w:val="000000"/>
        </w:rPr>
        <w:t>C-09. Registo da colónia no SIAC sem conteúdo definido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6, al. f); art. 5.º</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type="dxa" w:w="1984"/>
          </w:tcPr>
          <w:p>
            <w:pPr>
              <w:spacing w:after="60"/>
            </w:pPr>
            <w:r/>
            <w:r>
              <w:rPr>
                <w:b/>
                <w:sz w:val="20"/>
              </w:rPr>
              <w:t>Proposta</w:t>
            </w:r>
          </w:p>
        </w:tc>
        <w:tc>
          <w:tcPr>
            <w:tcW w:type="dxa" w:w="7087"/>
          </w:tcPr>
          <w:p>
            <w:pPr>
              <w:spacing w:after="60"/>
            </w:pPr>
            <w:r/>
            <w:r>
              <w:rPr>
                <w:b w:val="0"/>
                <w:sz w:val="20"/>
              </w:rPr>
              <w:t>Número nacional de colónia, atualização pela entidade responsável, cuidadores associados e registo anual de entradas, saídas e mortes.</w:t>
            </w:r>
          </w:p>
        </w:tc>
      </w:tr>
      <w:tr>
        <w:tc>
          <w:tcPr>
            <w:tcW w:type="dxa" w:w="1984"/>
          </w:tcPr>
          <w:p>
            <w:pPr>
              <w:spacing w:after="60"/>
            </w:pPr>
            <w:r/>
            <w:r>
              <w:rPr>
                <w:b/>
                <w:sz w:val="20"/>
              </w:rPr>
              <w:t>Quem levantou</w:t>
            </w:r>
          </w:p>
        </w:tc>
        <w:tc>
          <w:tcPr>
            <w:tcW w:type="dxa" w:w="7087"/>
          </w:tcPr>
          <w:p>
            <w:pPr>
              <w:spacing w:after="60"/>
            </w:pPr>
            <w:r/>
            <w:r>
              <w:rPr>
                <w:b w:val="0"/>
                <w:sz w:val="20"/>
              </w:rPr>
              <w:t>ENAE, p. 35 («não é possível aferir o número de animais nem o número e localização das colónias»); ENAE, §33 (número de registo nacional da colónia)</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r>
        <w:tc>
          <w:tcPr>
            <w:tcW w:type="dxa" w:w="1984"/>
          </w:tcPr>
          <w:p>
            <w:pPr>
              <w:spacing w:after="60"/>
            </w:pPr>
            <w:r/>
            <w:r>
              <w:rPr>
                <w:b/>
                <w:sz w:val="20"/>
              </w:rPr>
              <w:t>Fichas relacionadas</w:t>
            </w:r>
          </w:p>
        </w:tc>
        <w:tc>
          <w:tcPr>
            <w:tcW w:type="dxa" w:w="7087"/>
          </w:tcPr>
          <w:p>
            <w:pPr>
              <w:spacing w:after="60"/>
            </w:pPr>
            <w:r/>
            <w:r>
              <w:rPr>
                <w:b w:val="0"/>
                <w:sz w:val="20"/>
              </w:rPr>
              <w:t>C-02</w:t>
            </w:r>
          </w:p>
        </w:tc>
      </w:tr>
    </w:tbl>
    <w:p/>
    <w:p>
      <w:pPr>
        <w:pStyle w:val="Heading2"/>
      </w:pPr>
      <w:r>
        <w:rPr>
          <w:i w:val="0"/>
          <w:color w:val="000000"/>
        </w:rPr>
        <w:t>C-10. Colónias em prédios privados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87.º</w:t>
            </w:r>
          </w:p>
        </w:tc>
      </w:tr>
      <w:tr>
        <w:tc>
          <w:tcPr>
            <w:tcW w:type="dxa" w:w="1984"/>
          </w:tcPr>
          <w:p>
            <w:pPr>
              <w:spacing w:after="60"/>
            </w:pPr>
            <w:r/>
            <w:r>
              <w:rPr>
                <w:b/>
                <w:sz w:val="20"/>
              </w:rPr>
              <w:t>Origem</w:t>
            </w:r>
          </w:p>
        </w:tc>
        <w:tc>
          <w:tcPr>
            <w:tcW w:type="dxa" w:w="7087"/>
          </w:tcPr>
          <w:p>
            <w:pPr>
              <w:spacing w:after="60"/>
            </w:pPr>
            <w:r/>
            <w:r>
              <w:rPr>
                <w:b w:val="0"/>
                <w:sz w:val="20"/>
              </w:rPr>
              <w:t>Já existia; o RGAC resolve em parte</w:t>
            </w:r>
          </w:p>
        </w:tc>
      </w:tr>
      <w:tr>
        <w:tc>
          <w:tcPr>
            <w:tcW w:type="dxa" w:w="1984"/>
          </w:tcPr>
          <w:p>
            <w:pPr>
              <w:spacing w:after="60"/>
            </w:pPr>
            <w:r/>
            <w:r>
              <w:rPr>
                <w:b/>
                <w:sz w:val="20"/>
              </w:rPr>
              <w:t>Problema</w:t>
            </w:r>
          </w:p>
        </w:tc>
        <w:tc>
          <w:tcPr>
            <w:tcW w:type="dxa" w:w="7087"/>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type="dxa" w:w="1984"/>
          </w:tcPr>
          <w:p>
            <w:pPr>
              <w:spacing w:after="60"/>
            </w:pPr>
            <w:r/>
            <w:r>
              <w:rPr>
                <w:b/>
                <w:sz w:val="20"/>
              </w:rPr>
              <w:t>Proposta</w:t>
            </w:r>
          </w:p>
        </w:tc>
        <w:tc>
          <w:tcPr>
            <w:tcW w:type="dxa" w:w="7087"/>
          </w:tcPr>
          <w:p>
            <w:pPr>
              <w:spacing w:after="60"/>
            </w:pPr>
            <w:r/>
            <w:r>
              <w:rPr>
                <w:b w:val="0"/>
                <w:sz w:val="20"/>
              </w:rPr>
              <w:t>Prever a situação de recusa (intervenção por razões de saúde pública ou bem-estar animal) e retirar a alimentação do dever de colaboração do proprietário.</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 Comentário DAJA ao art. 86.º (prédios devolutos, posse administrativa, RJUE)</w:t>
            </w:r>
          </w:p>
        </w:tc>
      </w:tr>
      <w:tr>
        <w:tc>
          <w:tcPr>
            <w:tcW w:type="dxa" w:w="1984"/>
          </w:tcPr>
          <w:p>
            <w:pPr>
              <w:spacing w:after="60"/>
            </w:pPr>
            <w:r/>
            <w:r>
              <w:rPr>
                <w:b/>
                <w:sz w:val="20"/>
              </w:rPr>
              <w:t>Estado</w:t>
            </w:r>
          </w:p>
        </w:tc>
        <w:tc>
          <w:tcPr>
            <w:tcW w:type="dxa" w:w="7087"/>
          </w:tcPr>
          <w:p>
            <w:pPr>
              <w:spacing w:after="60"/>
            </w:pPr>
            <w:r/>
            <w:r>
              <w:rPr>
                <w:b w:val="0"/>
                <w:sz w:val="20"/>
              </w:rPr>
              <w:t>Parcialmente resolvido</w:t>
            </w:r>
          </w:p>
        </w:tc>
      </w:tr>
      <w:tr>
        <w:tc>
          <w:tcPr>
            <w:tcW w:type="dxa" w:w="1984"/>
          </w:tcPr>
          <w:p>
            <w:pPr>
              <w:spacing w:after="60"/>
            </w:pPr>
            <w:r/>
            <w:r>
              <w:rPr>
                <w:b/>
                <w:sz w:val="20"/>
              </w:rPr>
              <w:t>Fichas relacionadas</w:t>
            </w:r>
          </w:p>
        </w:tc>
        <w:tc>
          <w:tcPr>
            <w:tcW w:type="dxa" w:w="7087"/>
          </w:tcPr>
          <w:p>
            <w:pPr>
              <w:spacing w:after="60"/>
            </w:pPr>
            <w:r/>
            <w:r>
              <w:rPr>
                <w:b w:val="0"/>
                <w:sz w:val="20"/>
              </w:rPr>
              <w:t>T-16</w:t>
            </w:r>
          </w:p>
        </w:tc>
      </w:tr>
    </w:tbl>
    <w:p/>
    <w:p>
      <w:pPr>
        <w:pStyle w:val="Heading2"/>
      </w:pPr>
      <w:r>
        <w:rPr>
          <w:i w:val="0"/>
          <w:color w:val="000000"/>
        </w:rPr>
        <w:t>C-11. CED e conservação da natureza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5</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type="dxa" w:w="1984"/>
          </w:tcPr>
          <w:p>
            <w:pPr>
              <w:spacing w:after="60"/>
            </w:pPr>
            <w:r/>
            <w:r>
              <w:rPr>
                <w:b/>
                <w:sz w:val="20"/>
              </w:rPr>
              <w:t>Proposta</w:t>
            </w:r>
          </w:p>
        </w:tc>
        <w:tc>
          <w:tcPr>
            <w:tcW w:type="dxa" w:w="7087"/>
          </w:tcPr>
          <w:p>
            <w:pPr>
              <w:spacing w:after="60"/>
            </w:pPr>
            <w:r/>
            <w:r>
              <w:rPr>
                <w:b w:val="0"/>
                <w:sz w:val="20"/>
              </w:rPr>
              <w:t>Exigir parecer do ICNF para colónias em áreas classificadas ou na sua proximidade.</w:t>
            </w:r>
          </w:p>
        </w:tc>
      </w:tr>
      <w:tr>
        <w:tc>
          <w:tcPr>
            <w:tcW w:type="dxa" w:w="1984"/>
          </w:tcPr>
          <w:p>
            <w:pPr>
              <w:spacing w:after="60"/>
            </w:pPr>
            <w:r/>
            <w:r>
              <w:rPr>
                <w:b/>
                <w:sz w:val="20"/>
              </w:rPr>
              <w:t>Quem levantou</w:t>
            </w:r>
          </w:p>
        </w:tc>
        <w:tc>
          <w:tcPr>
            <w:tcW w:type="dxa" w:w="7087"/>
          </w:tcPr>
          <w:p>
            <w:pPr>
              <w:spacing w:after="60"/>
            </w:pPr>
            <w:r/>
            <w:r>
              <w:rPr>
                <w:b w:val="0"/>
                <w:sz w:val="20"/>
              </w:rPr>
              <w:t>SPEA; RGBEAC (jun. 2025), art. 44.º, n.º 3</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C-12. Gatos de colónia em infração permanente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60.º, n.º 1; art. 3.º, definição de «Animal errante»; art. 91.º, n.º 1, al. a)</w:t>
            </w:r>
          </w:p>
        </w:tc>
      </w:tr>
      <w:tr>
        <w:tc>
          <w:tcPr>
            <w:tcW w:type="dxa" w:w="1984"/>
          </w:tcPr>
          <w:p>
            <w:pPr>
              <w:spacing w:after="60"/>
            </w:pPr>
            <w:r/>
            <w:r>
              <w:rPr>
                <w:b/>
                <w:sz w:val="20"/>
              </w:rPr>
              <w:t>Origem</w:t>
            </w:r>
          </w:p>
        </w:tc>
        <w:tc>
          <w:tcPr>
            <w:tcW w:type="dxa" w:w="7087"/>
          </w:tcPr>
          <w:p>
            <w:pPr>
              <w:spacing w:after="60"/>
            </w:pPr>
            <w:r/>
            <w:r>
              <w:rPr>
                <w:b w:val="0"/>
                <w:sz w:val="20"/>
              </w:rPr>
              <w:t>Criado pelo RGAC</w:t>
            </w:r>
          </w:p>
        </w:tc>
      </w:tr>
      <w:tr>
        <w:tc>
          <w:tcPr>
            <w:tcW w:type="dxa" w:w="1984"/>
          </w:tcPr>
          <w:p>
            <w:pPr>
              <w:spacing w:after="60"/>
            </w:pPr>
            <w:r/>
            <w:r>
              <w:rPr>
                <w:b/>
                <w:sz w:val="20"/>
              </w:rPr>
              <w:t>Problema</w:t>
            </w:r>
          </w:p>
        </w:tc>
        <w:tc>
          <w:tcPr>
            <w:tcW w:type="dxa" w:w="7087"/>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type="dxa" w:w="1984"/>
          </w:tcPr>
          <w:p>
            <w:pPr>
              <w:spacing w:after="60"/>
            </w:pPr>
            <w:r/>
            <w:r>
              <w:rPr>
                <w:b/>
                <w:sz w:val="20"/>
              </w:rPr>
              <w:t>Proposta</w:t>
            </w:r>
          </w:p>
        </w:tc>
        <w:tc>
          <w:tcPr>
            <w:tcW w:type="dxa" w:w="7087"/>
          </w:tcPr>
          <w:p>
            <w:pPr>
              <w:spacing w:after="60"/>
            </w:pPr>
            <w:r/>
            <w:r>
              <w:rPr>
                <w:b w:val="0"/>
                <w:sz w:val="20"/>
              </w:rPr>
              <w:t>Excecionar os gatos integrados em programa CED, identificados pelo corte na orelha e pelo transponder, no art. 60.º e na definição de animal errante.</w:t>
            </w:r>
          </w:p>
        </w:tc>
      </w:tr>
      <w:tr>
        <w:tc>
          <w:tcPr>
            <w:tcW w:type="dxa" w:w="1984"/>
          </w:tcPr>
          <w:p>
            <w:pPr>
              <w:spacing w:after="60"/>
            </w:pPr>
            <w:r/>
            <w:r>
              <w:rPr>
                <w:b/>
                <w:sz w:val="20"/>
              </w:rPr>
              <w:t>Quem levantou</w:t>
            </w:r>
          </w:p>
        </w:tc>
        <w:tc>
          <w:tcPr>
            <w:tcW w:type="dxa" w:w="7087"/>
          </w:tcPr>
          <w:p>
            <w:pPr>
              <w:spacing w:after="60"/>
            </w:pPr>
            <w:r/>
            <w:r>
              <w:rPr>
                <w:b w:val="0"/>
                <w:sz w:val="20"/>
              </w:rPr>
              <w:t>Revisão editorial de 10.6.2026 (pontos A4 e A5)</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C-13. Crias e gatos sociáveis: retirar ou devolver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7</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type="dxa" w:w="1984"/>
          </w:tcPr>
          <w:p>
            <w:pPr>
              <w:spacing w:after="60"/>
            </w:pPr>
            <w:r/>
            <w:r>
              <w:rPr>
                <w:b/>
                <w:sz w:val="20"/>
              </w:rPr>
              <w:t>Proposta</w:t>
            </w:r>
          </w:p>
        </w:tc>
        <w:tc>
          <w:tcPr>
            <w:tcW w:type="dxa" w:w="7087"/>
          </w:tcPr>
          <w:p>
            <w:pPr>
              <w:spacing w:after="60"/>
            </w:pPr>
            <w:r/>
            <w:r>
              <w:rPr>
                <w:b w:val="0"/>
                <w:sz w:val="20"/>
              </w:rPr>
              <w:t>Norma que mande encaminhar para adoção as crias em idade de socialização e os adultos sociáveis, com critério definido pela DGAV.</w:t>
            </w:r>
          </w:p>
        </w:tc>
      </w:tr>
      <w:tr>
        <w:tc>
          <w:tcPr>
            <w:tcW w:type="dxa" w:w="1984"/>
          </w:tcPr>
          <w:p>
            <w:pPr>
              <w:spacing w:after="60"/>
            </w:pPr>
            <w:r/>
            <w:r>
              <w:rPr>
                <w:b/>
                <w:sz w:val="20"/>
              </w:rPr>
              <w:t>Quem levantou</w:t>
            </w:r>
          </w:p>
        </w:tc>
        <w:tc>
          <w:tcPr>
            <w:tcW w:type="dxa" w:w="7087"/>
          </w:tcPr>
          <w:p>
            <w:pPr>
              <w:spacing w:after="60"/>
            </w:pPr>
            <w:r/>
            <w:r>
              <w:rPr>
                <w:b w:val="0"/>
                <w:sz w:val="20"/>
              </w:rPr>
              <w:t>ENAE, p. 34 («Sempre que possível, os animais adultos dóceis e as crias que ainda estejam em idade de socialização são retirados das colónias e encaminhados para adoção»)</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T-15</w:t>
            </w:r>
          </w:p>
        </w:tc>
      </w:tr>
    </w:tbl>
    <w:p/>
    <w:p>
      <w:pPr>
        <w:pStyle w:val="Heading2"/>
      </w:pPr>
      <w:r>
        <w:rPr>
          <w:i w:val="0"/>
          <w:color w:val="000000"/>
        </w:rPr>
        <w:t>C-14. Suspensão do programa e recolha dos gatos sem garantias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2 e 9</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type="dxa" w:w="1984"/>
          </w:tcPr>
          <w:p>
            <w:pPr>
              <w:spacing w:after="60"/>
            </w:pPr>
            <w:r/>
            <w:r>
              <w:rPr>
                <w:b/>
                <w:sz w:val="20"/>
              </w:rPr>
              <w:t>Proposta</w:t>
            </w:r>
          </w:p>
        </w:tc>
        <w:tc>
          <w:tcPr>
            <w:tcW w:type="dxa" w:w="7087"/>
          </w:tcPr>
          <w:p>
            <w:pPr>
              <w:spacing w:after="60"/>
            </w:pPr>
            <w:r/>
            <w:r>
              <w:rPr>
                <w:b w:val="0"/>
                <w:sz w:val="20"/>
              </w:rPr>
              <w:t>Prever notificação prévia com prazo para corrigir e um plano de destino dos animais antes da recolha.</w:t>
            </w:r>
          </w:p>
        </w:tc>
      </w:tr>
      <w:tr>
        <w:tc>
          <w:tcPr>
            <w:tcW w:type="dxa" w:w="1984"/>
          </w:tcPr>
          <w:p>
            <w:pPr>
              <w:spacing w:after="60"/>
            </w:pPr>
            <w:r/>
            <w:r>
              <w:rPr>
                <w:b/>
                <w:sz w:val="20"/>
              </w:rPr>
              <w:t>Quem levantou</w:t>
            </w:r>
          </w:p>
        </w:tc>
        <w:tc>
          <w:tcPr>
            <w:tcW w:type="dxa" w:w="7087"/>
          </w:tcPr>
          <w:p>
            <w:pPr>
              <w:spacing w:after="60"/>
            </w:pPr>
            <w:r/>
            <w:r>
              <w:rPr>
                <w:b w:val="0"/>
                <w:sz w:val="20"/>
              </w:rPr>
              <w:t>Análise interna (inventário de zonas cinzentas do CED)</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C-07</w:t>
            </w:r>
          </w:p>
        </w:tc>
      </w:tr>
    </w:tbl>
    <w:p/>
    <w:p>
      <w:pPr>
        <w:pStyle w:val="Heading2"/>
      </w:pPr>
      <w:r>
        <w:rPr>
          <w:i w:val="0"/>
          <w:color w:val="000000"/>
        </w:rPr>
        <w:t>C-15. Meios: médicos veterinários municipais e financiamento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n.ºs 1, 5 (segundo) e 10</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type="dxa" w:w="1984"/>
          </w:tcPr>
          <w:p>
            <w:pPr>
              <w:spacing w:after="60"/>
            </w:pPr>
            <w:r/>
            <w:r>
              <w:rPr>
                <w:b/>
                <w:sz w:val="20"/>
              </w:rPr>
              <w:t>Proposta</w:t>
            </w:r>
          </w:p>
        </w:tc>
        <w:tc>
          <w:tcPr>
            <w:tcW w:type="dxa" w:w="7087"/>
          </w:tcPr>
          <w:p>
            <w:pPr>
              <w:spacing w:after="60"/>
            </w:pPr>
            <w:r/>
            <w:r>
              <w:rPr>
                <w:b w:val="0"/>
                <w:sz w:val="20"/>
              </w:rPr>
              <w:t>Admitir médico veterinário contratado ou partilhado entre municípios e ligar o CED às linhas de apoio da DGAV.</w:t>
            </w:r>
          </w:p>
        </w:tc>
      </w:tr>
      <w:tr>
        <w:tc>
          <w:tcPr>
            <w:tcW w:type="dxa" w:w="1984"/>
          </w:tcPr>
          <w:p>
            <w:pPr>
              <w:spacing w:after="60"/>
            </w:pPr>
            <w:r/>
            <w:r>
              <w:rPr>
                <w:b/>
                <w:sz w:val="20"/>
              </w:rPr>
              <w:t>Quem levantou</w:t>
            </w:r>
          </w:p>
        </w:tc>
        <w:tc>
          <w:tcPr>
            <w:tcW w:type="dxa" w:w="7087"/>
          </w:tcPr>
          <w:p>
            <w:pPr>
              <w:spacing w:after="60"/>
            </w:pPr>
            <w:r/>
            <w:r>
              <w:rPr>
                <w:b w:val="0"/>
                <w:sz w:val="20"/>
              </w:rPr>
              <w:t>Relatório final do GTBEA (DGAV, 2021): financiamento como principal constrangimento; Inventário interno de zonas cinzentas do CED (zona 20)</w:t>
            </w:r>
          </w:p>
        </w:tc>
      </w:tr>
      <w:tr>
        <w:tc>
          <w:tcPr>
            <w:tcW w:type="dxa" w:w="1984"/>
          </w:tcPr>
          <w:p>
            <w:pPr>
              <w:spacing w:after="60"/>
            </w:pPr>
            <w:r/>
            <w:r>
              <w:rPr>
                <w:b/>
                <w:sz w:val="20"/>
              </w:rPr>
              <w:t>Estado</w:t>
            </w:r>
          </w:p>
        </w:tc>
        <w:tc>
          <w:tcPr>
            <w:tcW w:type="dxa" w:w="7087"/>
          </w:tcPr>
          <w:p>
            <w:pPr>
              <w:spacing w:after="60"/>
            </w:pPr>
            <w:r/>
            <w:r>
              <w:rPr>
                <w:b w:val="0"/>
                <w:sz w:val="20"/>
              </w:rPr>
              <w:t>Aberto</w:t>
            </w:r>
          </w:p>
        </w:tc>
      </w:tr>
    </w:tbl>
    <w:p/>
    <w:p>
      <w:pPr>
        <w:pStyle w:val="Heading2"/>
      </w:pPr>
      <w:r>
        <w:rPr>
          <w:i w:val="0"/>
          <w:color w:val="000000"/>
        </w:rPr>
        <w:t>C-16. Conflito com vizinhos e dimensão da colónia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1984"/>
          </w:tcPr>
          <w:p>
            <w:pPr>
              <w:spacing w:after="60"/>
            </w:pPr>
            <w:r/>
            <w:r>
              <w:rPr>
                <w:b/>
                <w:sz w:val="20"/>
              </w:rPr>
              <w:t>Onde</w:t>
            </w:r>
          </w:p>
        </w:tc>
        <w:tc>
          <w:tcPr>
            <w:tcW w:type="dxa" w:w="7087"/>
          </w:tcPr>
          <w:p>
            <w:pPr>
              <w:spacing w:after="60"/>
            </w:pPr>
            <w:r/>
            <w:r>
              <w:rPr>
                <w:b w:val="0"/>
                <w:sz w:val="20"/>
              </w:rPr>
              <w:t>art. 86.º, n.º 6 (segundo)</w:t>
            </w:r>
          </w:p>
        </w:tc>
      </w:tr>
      <w:tr>
        <w:tc>
          <w:tcPr>
            <w:tcW w:type="dxa" w:w="1984"/>
          </w:tcPr>
          <w:p>
            <w:pPr>
              <w:spacing w:after="60"/>
            </w:pPr>
            <w:r/>
            <w:r>
              <w:rPr>
                <w:b/>
                <w:sz w:val="20"/>
              </w:rPr>
              <w:t>Origem</w:t>
            </w:r>
          </w:p>
        </w:tc>
        <w:tc>
          <w:tcPr>
            <w:tcW w:type="dxa" w:w="7087"/>
          </w:tcPr>
          <w:p>
            <w:pPr>
              <w:spacing w:after="60"/>
            </w:pPr>
            <w:r/>
            <w:r>
              <w:rPr>
                <w:b w:val="0"/>
                <w:sz w:val="20"/>
              </w:rPr>
              <w:t>Já existia no regime vigente e o RGAC não resolve</w:t>
            </w:r>
          </w:p>
        </w:tc>
      </w:tr>
      <w:tr>
        <w:tc>
          <w:tcPr>
            <w:tcW w:type="dxa" w:w="1984"/>
          </w:tcPr>
          <w:p>
            <w:pPr>
              <w:spacing w:after="60"/>
            </w:pPr>
            <w:r/>
            <w:r>
              <w:rPr>
                <w:b/>
                <w:sz w:val="20"/>
              </w:rPr>
              <w:t>Problema</w:t>
            </w:r>
          </w:p>
        </w:tc>
        <w:tc>
          <w:tcPr>
            <w:tcW w:type="dxa" w:w="7087"/>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type="dxa" w:w="1984"/>
          </w:tcPr>
          <w:p>
            <w:pPr>
              <w:spacing w:after="60"/>
            </w:pPr>
            <w:r/>
            <w:r>
              <w:rPr>
                <w:b/>
                <w:sz w:val="20"/>
              </w:rPr>
              <w:t>Proposta</w:t>
            </w:r>
          </w:p>
        </w:tc>
        <w:tc>
          <w:tcPr>
            <w:tcW w:type="dxa" w:w="7087"/>
          </w:tcPr>
          <w:p>
            <w:pPr>
              <w:spacing w:after="60"/>
            </w:pPr>
            <w:r/>
            <w:r>
              <w:rPr>
                <w:b w:val="0"/>
                <w:sz w:val="20"/>
              </w:rPr>
              <w:t>Critérios de dimensão por tipo de local no manual da DGAV e um procedimento de mediação antes de decidir a recolha.</w:t>
            </w:r>
          </w:p>
        </w:tc>
      </w:tr>
      <w:tr>
        <w:tc>
          <w:tcPr>
            <w:tcW w:type="dxa" w:w="1984"/>
          </w:tcPr>
          <w:p>
            <w:pPr>
              <w:spacing w:after="60"/>
            </w:pPr>
            <w:r/>
            <w:r>
              <w:rPr>
                <w:b/>
                <w:sz w:val="20"/>
              </w:rPr>
              <w:t>Quem levantou</w:t>
            </w:r>
          </w:p>
        </w:tc>
        <w:tc>
          <w:tcPr>
            <w:tcW w:type="dxa" w:w="7087"/>
          </w:tcPr>
          <w:p>
            <w:pPr>
              <w:spacing w:after="60"/>
            </w:pPr>
            <w:r/>
            <w:r>
              <w:rPr>
                <w:b w:val="0"/>
                <w:sz w:val="20"/>
              </w:rPr>
              <w:t>Contributos dos médicos veterinários municipais (6.3.2026)</w:t>
            </w:r>
          </w:p>
        </w:tc>
      </w:tr>
      <w:tr>
        <w:tc>
          <w:tcPr>
            <w:tcW w:type="dxa" w:w="1984"/>
          </w:tcPr>
          <w:p>
            <w:pPr>
              <w:spacing w:after="60"/>
            </w:pPr>
            <w:r/>
            <w:r>
              <w:rPr>
                <w:b/>
                <w:sz w:val="20"/>
              </w:rPr>
              <w:t>Estado</w:t>
            </w:r>
          </w:p>
        </w:tc>
        <w:tc>
          <w:tcPr>
            <w:tcW w:type="dxa" w:w="7087"/>
          </w:tcPr>
          <w:p>
            <w:pPr>
              <w:spacing w:after="60"/>
            </w:pPr>
            <w:r/>
            <w:r>
              <w:rPr>
                <w:b w:val="0"/>
                <w:sz w:val="20"/>
              </w:rPr>
              <w:t>Aberto</w:t>
            </w:r>
          </w:p>
        </w:tc>
      </w:tr>
      <w:tr>
        <w:tc>
          <w:tcPr>
            <w:tcW w:type="dxa" w:w="1984"/>
          </w:tcPr>
          <w:p>
            <w:pPr>
              <w:spacing w:after="60"/>
            </w:pPr>
            <w:r/>
            <w:r>
              <w:rPr>
                <w:b/>
                <w:sz w:val="20"/>
              </w:rPr>
              <w:t>Fichas relacionadas</w:t>
            </w:r>
          </w:p>
        </w:tc>
        <w:tc>
          <w:tcPr>
            <w:tcW w:type="dxa" w:w="7087"/>
          </w:tcPr>
          <w:p>
            <w:pPr>
              <w:spacing w:after="60"/>
            </w:pPr>
            <w:r/>
            <w:r>
              <w:rPr>
                <w:b w:val="0"/>
                <w:sz w:val="20"/>
              </w:rPr>
              <w:t>C-14</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r>
        <w:br w:type="page"/>
      </w:r>
    </w:p>
    <w:p>
      <w:pPr>
        <w:pStyle w:val="Heading1"/>
      </w:pPr>
      <w:r>
        <w:rPr>
          <w:i w:val="0"/>
          <w:color w:val="000000"/>
        </w:rPr>
        <w:t>Anexo A. Quadro-resumo das fichas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tblHeader w:val="true"/>
        </w:trPr>
        <w:tc>
          <w:tcPr>
            <w:tcW w:type="dxa" w:w="850"/>
          </w:tcPr>
          <w:p>
            <w:pPr>
              <w:spacing w:after="60"/>
            </w:pPr>
            <w:r/>
            <w:r>
              <w:rPr>
                <w:b/>
                <w:sz w:val="20"/>
              </w:rPr>
              <w:t>Código</w:t>
            </w:r>
          </w:p>
        </w:tc>
        <w:tc>
          <w:tcPr>
            <w:tcW w:type="dxa" w:w="3118"/>
          </w:tcPr>
          <w:p>
            <w:pPr>
              <w:spacing w:after="60"/>
            </w:pPr>
            <w:r/>
            <w:r>
              <w:rPr>
                <w:b/>
                <w:sz w:val="20"/>
              </w:rPr>
              <w:t>Assunto</w:t>
            </w:r>
          </w:p>
        </w:tc>
        <w:tc>
          <w:tcPr>
            <w:tcW w:type="dxa" w:w="2268"/>
          </w:tcPr>
          <w:p>
            <w:pPr>
              <w:spacing w:after="60"/>
            </w:pPr>
            <w:r/>
            <w:r>
              <w:rPr>
                <w:b/>
                <w:sz w:val="20"/>
              </w:rPr>
              <w:t>Onde</w:t>
            </w:r>
          </w:p>
        </w:tc>
        <w:tc>
          <w:tcPr>
            <w:tcW w:type="dxa" w:w="1531"/>
          </w:tcPr>
          <w:p>
            <w:pPr>
              <w:spacing w:after="60"/>
            </w:pPr>
            <w:r/>
            <w:r>
              <w:rPr>
                <w:b/>
                <w:sz w:val="20"/>
              </w:rPr>
              <w:t>Origem</w:t>
            </w:r>
          </w:p>
        </w:tc>
        <w:tc>
          <w:tcPr>
            <w:tcW w:type="dxa" w:w="1304"/>
          </w:tcPr>
          <w:p>
            <w:pPr>
              <w:spacing w:after="60"/>
            </w:pPr>
            <w:r/>
            <w:r>
              <w:rPr>
                <w:b/>
                <w:sz w:val="20"/>
              </w:rPr>
              <w:t>Estado</w:t>
            </w:r>
          </w:p>
        </w:tc>
      </w:tr>
      <w:tr>
        <w:tc>
          <w:tcPr>
            <w:tcW w:type="dxa" w:w="850"/>
          </w:tcPr>
          <w:p>
            <w:pPr>
              <w:spacing w:after="60"/>
            </w:pPr>
            <w:r/>
            <w:r>
              <w:rPr>
                <w:b w:val="0"/>
                <w:sz w:val="20"/>
              </w:rPr>
              <w:t>T-01</w:t>
            </w:r>
          </w:p>
        </w:tc>
        <w:tc>
          <w:tcPr>
            <w:tcW w:type="dxa" w:w="3118"/>
          </w:tcPr>
          <w:p>
            <w:pPr>
              <w:spacing w:after="60"/>
            </w:pPr>
            <w:r/>
            <w:r>
              <w:rPr>
                <w:b w:val="0"/>
                <w:sz w:val="20"/>
              </w:rPr>
              <w:t>A definição de titular depende só do registo</w:t>
            </w:r>
          </w:p>
        </w:tc>
        <w:tc>
          <w:tcPr>
            <w:tcW w:type="dxa" w:w="2268"/>
          </w:tcPr>
          <w:p>
            <w:pPr>
              <w:spacing w:after="60"/>
            </w:pPr>
            <w:r/>
            <w:r>
              <w:rPr>
                <w:b w:val="0"/>
                <w:sz w:val="20"/>
              </w:rPr>
              <w:t>art. 3.º, definição de «Titular»</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T-02</w:t>
            </w:r>
          </w:p>
        </w:tc>
        <w:tc>
          <w:tcPr>
            <w:tcW w:type="dxa" w:w="3118"/>
          </w:tcPr>
          <w:p>
            <w:pPr>
              <w:spacing w:after="60"/>
            </w:pPr>
            <w:r/>
            <w:r>
              <w:rPr>
                <w:b w:val="0"/>
                <w:sz w:val="20"/>
              </w:rPr>
              <w:t>Registo em nome de quem detém o animal e não de quem é dono</w:t>
            </w:r>
          </w:p>
        </w:tc>
        <w:tc>
          <w:tcPr>
            <w:tcW w:type="dxa" w:w="2268"/>
          </w:tcPr>
          <w:p>
            <w:pPr>
              <w:spacing w:after="60"/>
            </w:pPr>
            <w:r/>
            <w:r>
              <w:rPr>
                <w:b w:val="0"/>
                <w:sz w:val="20"/>
              </w:rPr>
              <w:t>art. 69.º, n.º 5</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T-03</w:t>
            </w:r>
          </w:p>
        </w:tc>
        <w:tc>
          <w:tcPr>
            <w:tcW w:type="dxa" w:w="3118"/>
          </w:tcPr>
          <w:p>
            <w:pPr>
              <w:spacing w:after="60"/>
            </w:pPr>
            <w:r/>
            <w:r>
              <w:rPr>
                <w:b w:val="0"/>
                <w:sz w:val="20"/>
              </w:rPr>
              <w:t>Sem regra sobre o valor do registo SIAC face à propriedade</w:t>
            </w:r>
          </w:p>
        </w:tc>
        <w:tc>
          <w:tcPr>
            <w:tcW w:type="dxa" w:w="2268"/>
          </w:tcPr>
          <w:p>
            <w:pPr>
              <w:spacing w:after="60"/>
            </w:pPr>
            <w:r/>
            <w:r>
              <w:rPr>
                <w:b w:val="0"/>
                <w:sz w:val="20"/>
              </w:rPr>
              <w:t>art. 3.º</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T-04</w:t>
            </w:r>
          </w:p>
        </w:tc>
        <w:tc>
          <w:tcPr>
            <w:tcW w:type="dxa" w:w="3118"/>
          </w:tcPr>
          <w:p>
            <w:pPr>
              <w:spacing w:after="60"/>
            </w:pPr>
            <w:r/>
            <w:r>
              <w:rPr>
                <w:b w:val="0"/>
                <w:sz w:val="20"/>
              </w:rPr>
              <w:t>O detentor deixa de ter de comunicar a morte do animal</w:t>
            </w:r>
          </w:p>
        </w:tc>
        <w:tc>
          <w:tcPr>
            <w:tcW w:type="dxa" w:w="2268"/>
          </w:tcPr>
          <w:p>
            <w:pPr>
              <w:spacing w:after="60"/>
            </w:pPr>
            <w:r/>
            <w:r>
              <w:rPr>
                <w:b w:val="0"/>
                <w:sz w:val="20"/>
              </w:rPr>
              <w:t>art. 76.º, n.º 2</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T-05</w:t>
            </w:r>
          </w:p>
        </w:tc>
        <w:tc>
          <w:tcPr>
            <w:tcW w:type="dxa" w:w="3118"/>
          </w:tcPr>
          <w:p>
            <w:pPr>
              <w:spacing w:after="60"/>
            </w:pPr>
            <w:r/>
            <w:r>
              <w:rPr>
                <w:b w:val="0"/>
                <w:sz w:val="20"/>
              </w:rPr>
              <w:t>A presunção de abandono remete para normas erradas e não diz a quem se aplica</w:t>
            </w:r>
          </w:p>
        </w:tc>
        <w:tc>
          <w:tcPr>
            <w:tcW w:type="dxa" w:w="2268"/>
          </w:tcPr>
          <w:p>
            <w:pPr>
              <w:spacing w:after="60"/>
            </w:pPr>
            <w:r/>
            <w:r>
              <w:rPr>
                <w:b w:val="0"/>
                <w:sz w:val="20"/>
              </w:rPr>
              <w:t>art. 73.º, n.º 7</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T-06</w:t>
            </w:r>
          </w:p>
        </w:tc>
        <w:tc>
          <w:tcPr>
            <w:tcW w:type="dxa" w:w="3118"/>
          </w:tcPr>
          <w:p>
            <w:pPr>
              <w:spacing w:after="60"/>
            </w:pPr>
            <w:r/>
            <w:r>
              <w:rPr>
                <w:b w:val="0"/>
                <w:sz w:val="20"/>
              </w:rPr>
              <w:t>O abandono não aparece como contraordenação</w:t>
            </w:r>
          </w:p>
        </w:tc>
        <w:tc>
          <w:tcPr>
            <w:tcW w:type="dxa" w:w="2268"/>
          </w:tcPr>
          <w:p>
            <w:pPr>
              <w:spacing w:after="60"/>
            </w:pPr>
            <w:r/>
            <w:r>
              <w:rPr>
                <w:b w:val="0"/>
                <w:sz w:val="20"/>
              </w:rPr>
              <w:t>art. 140.º</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T-07</w:t>
            </w:r>
          </w:p>
        </w:tc>
        <w:tc>
          <w:tcPr>
            <w:tcW w:type="dxa" w:w="3118"/>
          </w:tcPr>
          <w:p>
            <w:pPr>
              <w:spacing w:after="60"/>
            </w:pPr>
            <w:r/>
            <w:r>
              <w:rPr>
                <w:b w:val="0"/>
                <w:sz w:val="20"/>
              </w:rPr>
              <w:t>As portarias mantidas usam detentor no sentido antigo</w:t>
            </w:r>
          </w:p>
        </w:tc>
        <w:tc>
          <w:tcPr>
            <w:tcW w:type="dxa" w:w="2268"/>
          </w:tcPr>
          <w:p>
            <w:pPr>
              <w:spacing w:after="60"/>
            </w:pPr>
            <w:r/>
            <w:r>
              <w:rPr>
                <w:b w:val="0"/>
                <w:sz w:val="20"/>
              </w:rPr>
              <w:t>art. 149.º, n.º 2</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T-08</w:t>
            </w:r>
          </w:p>
        </w:tc>
        <w:tc>
          <w:tcPr>
            <w:tcW w:type="dxa" w:w="3118"/>
          </w:tcPr>
          <w:p>
            <w:pPr>
              <w:spacing w:after="60"/>
            </w:pPr>
            <w:r/>
            <w:r>
              <w:rPr>
                <w:b w:val="0"/>
                <w:sz w:val="20"/>
              </w:rPr>
              <w:t>Animais perigosos: o operador pode ser uma sociedade, o titular não</w:t>
            </w:r>
          </w:p>
        </w:tc>
        <w:tc>
          <w:tcPr>
            <w:tcW w:type="dxa" w:w="2268"/>
          </w:tcPr>
          <w:p>
            <w:pPr>
              <w:spacing w:after="60"/>
            </w:pPr>
            <w:r/>
            <w:r>
              <w:rPr>
                <w:b w:val="0"/>
                <w:sz w:val="20"/>
              </w:rPr>
              <w:t>art. 69.º, n.ºs 3, 6 e 7</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T-09</w:t>
            </w:r>
          </w:p>
        </w:tc>
        <w:tc>
          <w:tcPr>
            <w:tcW w:type="dxa" w:w="3118"/>
          </w:tcPr>
          <w:p>
            <w:pPr>
              <w:spacing w:after="60"/>
            </w:pPr>
            <w:r/>
            <w:r>
              <w:rPr>
                <w:b w:val="0"/>
                <w:sz w:val="20"/>
              </w:rPr>
              <w:t>«Titular ou operador» quando o operador já é titular</w:t>
            </w:r>
          </w:p>
        </w:tc>
        <w:tc>
          <w:tcPr>
            <w:tcW w:type="dxa" w:w="2268"/>
          </w:tcPr>
          <w:p>
            <w:pPr>
              <w:spacing w:after="60"/>
            </w:pPr>
            <w:r/>
            <w:r>
              <w:rPr>
                <w:b w:val="0"/>
                <w:sz w:val="20"/>
              </w:rPr>
              <w:t>art. 3.º, definição de «Titular»</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T-10</w:t>
            </w:r>
          </w:p>
        </w:tc>
        <w:tc>
          <w:tcPr>
            <w:tcW w:type="dxa" w:w="3118"/>
          </w:tcPr>
          <w:p>
            <w:pPr>
              <w:spacing w:after="60"/>
            </w:pPr>
            <w:r/>
            <w:r>
              <w:rPr>
                <w:b w:val="0"/>
                <w:sz w:val="20"/>
              </w:rPr>
              <w:t>Terminologia do CRO ainda não uniforme</w:t>
            </w:r>
          </w:p>
        </w:tc>
        <w:tc>
          <w:tcPr>
            <w:tcW w:type="dxa" w:w="2268"/>
          </w:tcPr>
          <w:p>
            <w:pPr>
              <w:spacing w:after="60"/>
            </w:pPr>
            <w:r/>
            <w:r>
              <w:rPr>
                <w:b w:val="0"/>
                <w:sz w:val="20"/>
              </w:rPr>
              <w:t>art. 70.º, n.ºs 8 e 9</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T-11</w:t>
            </w:r>
          </w:p>
        </w:tc>
        <w:tc>
          <w:tcPr>
            <w:tcW w:type="dxa" w:w="3118"/>
          </w:tcPr>
          <w:p>
            <w:pPr>
              <w:spacing w:after="60"/>
            </w:pPr>
            <w:r/>
            <w:r>
              <w:rPr>
                <w:b w:val="0"/>
                <w:sz w:val="20"/>
              </w:rPr>
              <w:t>Contraordenação dirigida só aos detentores</w:t>
            </w:r>
          </w:p>
        </w:tc>
        <w:tc>
          <w:tcPr>
            <w:tcW w:type="dxa" w:w="2268"/>
          </w:tcPr>
          <w:p>
            <w:pPr>
              <w:spacing w:after="60"/>
            </w:pPr>
            <w:r/>
            <w:r>
              <w:rPr>
                <w:b w:val="0"/>
                <w:sz w:val="20"/>
              </w:rPr>
              <w:t>art. 140.º, n.º 2</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T-12</w:t>
            </w:r>
          </w:p>
        </w:tc>
        <w:tc>
          <w:tcPr>
            <w:tcW w:type="dxa" w:w="3118"/>
          </w:tcPr>
          <w:p>
            <w:pPr>
              <w:spacing w:after="60"/>
            </w:pPr>
            <w:r/>
            <w:r>
              <w:rPr>
                <w:b w:val="0"/>
                <w:sz w:val="20"/>
              </w:rPr>
              <w:t>Redação por decidir no art. 22.º</w:t>
            </w:r>
          </w:p>
        </w:tc>
        <w:tc>
          <w:tcPr>
            <w:tcW w:type="dxa" w:w="2268"/>
          </w:tcPr>
          <w:p>
            <w:pPr>
              <w:spacing w:after="60"/>
            </w:pPr>
            <w:r/>
            <w:r>
              <w:rPr>
                <w:b w:val="0"/>
                <w:sz w:val="20"/>
              </w:rPr>
              <w:t>art. 22.º, n.º 1</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T-13</w:t>
            </w:r>
          </w:p>
        </w:tc>
        <w:tc>
          <w:tcPr>
            <w:tcW w:type="dxa" w:w="3118"/>
          </w:tcPr>
          <w:p>
            <w:pPr>
              <w:spacing w:after="60"/>
            </w:pPr>
            <w:r/>
            <w:r>
              <w:rPr>
                <w:b w:val="0"/>
                <w:sz w:val="20"/>
              </w:rPr>
              <w:t>Quem responde pelos danos causados pelo animal</w:t>
            </w:r>
          </w:p>
        </w:tc>
        <w:tc>
          <w:tcPr>
            <w:tcW w:type="dxa" w:w="2268"/>
          </w:tcPr>
          <w:p>
            <w:pPr>
              <w:spacing w:after="60"/>
            </w:pPr>
            <w:r/>
            <w:r>
              <w:rPr>
                <w:b w:val="0"/>
                <w:sz w:val="20"/>
              </w:rPr>
              <w:t>sem norma no RGAC, salvo animais perigosos (seguro a cargo do titular)</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T-14</w:t>
            </w:r>
          </w:p>
        </w:tc>
        <w:tc>
          <w:tcPr>
            <w:tcW w:type="dxa" w:w="3118"/>
          </w:tcPr>
          <w:p>
            <w:pPr>
              <w:spacing w:after="60"/>
            </w:pPr>
            <w:r/>
            <w:r>
              <w:rPr>
                <w:b w:val="0"/>
                <w:sz w:val="20"/>
              </w:rPr>
              <w:t>Família de acolhimento sem operador fica sem enquadramento</w:t>
            </w:r>
          </w:p>
        </w:tc>
        <w:tc>
          <w:tcPr>
            <w:tcW w:type="dxa" w:w="2268"/>
          </w:tcPr>
          <w:p>
            <w:pPr>
              <w:spacing w:after="60"/>
            </w:pPr>
            <w:r/>
            <w:r>
              <w:rPr>
                <w:b w:val="0"/>
                <w:sz w:val="20"/>
              </w:rPr>
              <w:t>art. 3.º, definição de «Lar de acolhimento»</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T-15</w:t>
            </w:r>
          </w:p>
        </w:tc>
        <w:tc>
          <w:tcPr>
            <w:tcW w:type="dxa" w:w="3118"/>
          </w:tcPr>
          <w:p>
            <w:pPr>
              <w:spacing w:after="60"/>
            </w:pPr>
            <w:r/>
            <w:r>
              <w:rPr>
                <w:b w:val="0"/>
                <w:sz w:val="20"/>
              </w:rPr>
              <w:t>Quem encontra um animal passa a poder ser punido</w:t>
            </w:r>
          </w:p>
        </w:tc>
        <w:tc>
          <w:tcPr>
            <w:tcW w:type="dxa" w:w="2268"/>
          </w:tcPr>
          <w:p>
            <w:pPr>
              <w:spacing w:after="60"/>
            </w:pPr>
            <w:r/>
            <w:r>
              <w:rPr>
                <w:b w:val="0"/>
                <w:sz w:val="20"/>
              </w:rPr>
              <w:t>art. 91.º, n.º 9</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T-16</w:t>
            </w:r>
          </w:p>
        </w:tc>
        <w:tc>
          <w:tcPr>
            <w:tcW w:type="dxa" w:w="3118"/>
          </w:tcPr>
          <w:p>
            <w:pPr>
              <w:spacing w:after="60"/>
            </w:pPr>
            <w:r/>
            <w:r>
              <w:rPr>
                <w:b w:val="0"/>
                <w:sz w:val="20"/>
              </w:rPr>
              <w:t>Detentores de facto que dizem tratar de animais errantes</w:t>
            </w:r>
          </w:p>
        </w:tc>
        <w:tc>
          <w:tcPr>
            <w:tcW w:type="dxa" w:w="2268"/>
          </w:tcPr>
          <w:p>
            <w:pPr>
              <w:spacing w:after="60"/>
            </w:pPr>
            <w:r/>
            <w:r>
              <w:rPr>
                <w:b w:val="0"/>
                <w:sz w:val="20"/>
              </w:rPr>
              <w:t>sem norma no RGAC</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T-17</w:t>
            </w:r>
          </w:p>
        </w:tc>
        <w:tc>
          <w:tcPr>
            <w:tcW w:type="dxa" w:w="3118"/>
          </w:tcPr>
          <w:p>
            <w:pPr>
              <w:spacing w:after="60"/>
            </w:pPr>
            <w:r/>
            <w:r>
              <w:rPr>
                <w:b w:val="0"/>
                <w:sz w:val="20"/>
              </w:rPr>
              <w:t>Prazos de comunicação ao SIAC mais pesados do que o Regulamento europeu</w:t>
            </w:r>
          </w:p>
        </w:tc>
        <w:tc>
          <w:tcPr>
            <w:tcW w:type="dxa" w:w="2268"/>
          </w:tcPr>
          <w:p>
            <w:pPr>
              <w:spacing w:after="60"/>
            </w:pPr>
            <w:r/>
            <w:r>
              <w:rPr>
                <w:b w:val="0"/>
                <w:sz w:val="20"/>
              </w:rPr>
              <w:t>art. 73.º, n.º 3</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C-01</w:t>
            </w:r>
          </w:p>
        </w:tc>
        <w:tc>
          <w:tcPr>
            <w:tcW w:type="dxa" w:w="3118"/>
          </w:tcPr>
          <w:p>
            <w:pPr>
              <w:spacing w:after="60"/>
            </w:pPr>
            <w:r/>
            <w:r>
              <w:rPr>
                <w:b w:val="0"/>
                <w:sz w:val="20"/>
              </w:rPr>
              <w:t>O CED passa a ser só uma faculdade das câmaras</w:t>
            </w:r>
          </w:p>
        </w:tc>
        <w:tc>
          <w:tcPr>
            <w:tcW w:type="dxa" w:w="2268"/>
          </w:tcPr>
          <w:p>
            <w:pPr>
              <w:spacing w:after="60"/>
            </w:pPr>
            <w:r/>
            <w:r>
              <w:rPr>
                <w:b w:val="0"/>
                <w:sz w:val="20"/>
              </w:rPr>
              <w:t>art. 86.º, n.º 1</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C-02</w:t>
            </w:r>
          </w:p>
        </w:tc>
        <w:tc>
          <w:tcPr>
            <w:tcW w:type="dxa" w:w="3118"/>
          </w:tcPr>
          <w:p>
            <w:pPr>
              <w:spacing w:after="60"/>
            </w:pPr>
            <w:r/>
            <w:r>
              <w:rPr>
                <w:b w:val="0"/>
                <w:sz w:val="20"/>
              </w:rPr>
              <w:t>O cuidador de colónia não existe no texto</w:t>
            </w:r>
          </w:p>
        </w:tc>
        <w:tc>
          <w:tcPr>
            <w:tcW w:type="dxa" w:w="2268"/>
          </w:tcPr>
          <w:p>
            <w:pPr>
              <w:spacing w:after="60"/>
            </w:pPr>
            <w:r/>
            <w:r>
              <w:rPr>
                <w:b w:val="0"/>
                <w:sz w:val="20"/>
              </w:rPr>
              <w:t>art. 86.º (todo)</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C-03</w:t>
            </w:r>
          </w:p>
        </w:tc>
        <w:tc>
          <w:tcPr>
            <w:tcW w:type="dxa" w:w="3118"/>
          </w:tcPr>
          <w:p>
            <w:pPr>
              <w:spacing w:after="60"/>
            </w:pPr>
            <w:r/>
            <w:r>
              <w:rPr>
                <w:b w:val="0"/>
                <w:sz w:val="20"/>
              </w:rPr>
              <w:t>Proibição nacional de alimentar animais na via pública</w:t>
            </w:r>
          </w:p>
        </w:tc>
        <w:tc>
          <w:tcPr>
            <w:tcW w:type="dxa" w:w="2268"/>
          </w:tcPr>
          <w:p>
            <w:pPr>
              <w:spacing w:after="60"/>
            </w:pPr>
            <w:r/>
            <w:r>
              <w:rPr>
                <w:b w:val="0"/>
                <w:sz w:val="20"/>
              </w:rPr>
              <w:t>art. 84.º, n.º 3</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C-04</w:t>
            </w:r>
          </w:p>
        </w:tc>
        <w:tc>
          <w:tcPr>
            <w:tcW w:type="dxa" w:w="3118"/>
          </w:tcPr>
          <w:p>
            <w:pPr>
              <w:spacing w:after="60"/>
            </w:pPr>
            <w:r/>
            <w:r>
              <w:rPr>
                <w:b w:val="0"/>
                <w:sz w:val="20"/>
              </w:rPr>
              <w:t>Só as câmaras podem capturar, mas o CED pode ser gerido por outras entidades</w:t>
            </w:r>
          </w:p>
        </w:tc>
        <w:tc>
          <w:tcPr>
            <w:tcW w:type="dxa" w:w="2268"/>
          </w:tcPr>
          <w:p>
            <w:pPr>
              <w:spacing w:after="60"/>
            </w:pPr>
            <w:r/>
            <w:r>
              <w:rPr>
                <w:b w:val="0"/>
                <w:sz w:val="20"/>
              </w:rPr>
              <w:t>art. 91.º, n.º 3</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C-05</w:t>
            </w:r>
          </w:p>
        </w:tc>
        <w:tc>
          <w:tcPr>
            <w:tcW w:type="dxa" w:w="3118"/>
          </w:tcPr>
          <w:p>
            <w:pPr>
              <w:spacing w:after="60"/>
            </w:pPr>
            <w:r/>
            <w:r>
              <w:rPr>
                <w:b w:val="0"/>
                <w:sz w:val="20"/>
              </w:rPr>
              <w:t>Passagem obrigatória pelo CRO antes de o gato entrar na colónia</w:t>
            </w:r>
          </w:p>
        </w:tc>
        <w:tc>
          <w:tcPr>
            <w:tcW w:type="dxa" w:w="2268"/>
          </w:tcPr>
          <w:p>
            <w:pPr>
              <w:spacing w:after="60"/>
            </w:pPr>
            <w:r/>
            <w:r>
              <w:rPr>
                <w:b w:val="0"/>
                <w:sz w:val="20"/>
              </w:rPr>
              <w:t>art. 86.º, n.º 6, al. d)</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C-06</w:t>
            </w:r>
          </w:p>
        </w:tc>
        <w:tc>
          <w:tcPr>
            <w:tcW w:type="dxa" w:w="3118"/>
          </w:tcPr>
          <w:p>
            <w:pPr>
              <w:spacing w:after="60"/>
            </w:pPr>
            <w:r/>
            <w:r>
              <w:rPr>
                <w:b w:val="0"/>
                <w:sz w:val="20"/>
              </w:rPr>
              <w:t>Exclusão dos cães do CED</w:t>
            </w:r>
          </w:p>
        </w:tc>
        <w:tc>
          <w:tcPr>
            <w:tcW w:type="dxa" w:w="2268"/>
          </w:tcPr>
          <w:p>
            <w:pPr>
              <w:spacing w:after="60"/>
            </w:pPr>
            <w:r/>
            <w:r>
              <w:rPr>
                <w:b w:val="0"/>
                <w:sz w:val="20"/>
              </w:rPr>
              <w:t>art. 86.º, n.º 3</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C-07</w:t>
            </w:r>
          </w:p>
        </w:tc>
        <w:tc>
          <w:tcPr>
            <w:tcW w:type="dxa" w:w="3118"/>
          </w:tcPr>
          <w:p>
            <w:pPr>
              <w:spacing w:after="60"/>
            </w:pPr>
            <w:r/>
            <w:r>
              <w:rPr>
                <w:b w:val="0"/>
                <w:sz w:val="20"/>
              </w:rPr>
              <w:t>Remissões e numeração erradas no artigo do CED</w:t>
            </w:r>
          </w:p>
        </w:tc>
        <w:tc>
          <w:tcPr>
            <w:tcW w:type="dxa" w:w="2268"/>
          </w:tcPr>
          <w:p>
            <w:pPr>
              <w:spacing w:after="60"/>
            </w:pPr>
            <w:r/>
            <w:r>
              <w:rPr>
                <w:b w:val="0"/>
                <w:sz w:val="20"/>
              </w:rPr>
              <w:t>art. 86.º, n.ºs 1, 2, 5, 6 e 9</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C-08</w:t>
            </w:r>
          </w:p>
        </w:tc>
        <w:tc>
          <w:tcPr>
            <w:tcW w:type="dxa" w:w="3118"/>
          </w:tcPr>
          <w:p>
            <w:pPr>
              <w:spacing w:after="60"/>
            </w:pPr>
            <w:r/>
            <w:r>
              <w:rPr>
                <w:b w:val="0"/>
                <w:sz w:val="20"/>
              </w:rPr>
              <w:t>Entidade promotora, entidade responsável e titular: quem responde pela colónia</w:t>
            </w:r>
          </w:p>
        </w:tc>
        <w:tc>
          <w:tcPr>
            <w:tcW w:type="dxa" w:w="2268"/>
          </w:tcPr>
          <w:p>
            <w:pPr>
              <w:spacing w:after="60"/>
            </w:pPr>
            <w:r/>
            <w:r>
              <w:rPr>
                <w:b w:val="0"/>
                <w:sz w:val="20"/>
              </w:rPr>
              <w:t>art. 86.º, n.ºs 4, 5 (segundo), 6 e 10</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C-09</w:t>
            </w:r>
          </w:p>
        </w:tc>
        <w:tc>
          <w:tcPr>
            <w:tcW w:type="dxa" w:w="3118"/>
          </w:tcPr>
          <w:p>
            <w:pPr>
              <w:spacing w:after="60"/>
            </w:pPr>
            <w:r/>
            <w:r>
              <w:rPr>
                <w:b w:val="0"/>
                <w:sz w:val="20"/>
              </w:rPr>
              <w:t>Registo da colónia no SIAC sem conteúdo definido</w:t>
            </w:r>
          </w:p>
        </w:tc>
        <w:tc>
          <w:tcPr>
            <w:tcW w:type="dxa" w:w="2268"/>
          </w:tcPr>
          <w:p>
            <w:pPr>
              <w:spacing w:after="60"/>
            </w:pPr>
            <w:r/>
            <w:r>
              <w:rPr>
                <w:b w:val="0"/>
                <w:sz w:val="20"/>
              </w:rPr>
              <w:t>art. 86.º, n.º 6, al. f)</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C-10</w:t>
            </w:r>
          </w:p>
        </w:tc>
        <w:tc>
          <w:tcPr>
            <w:tcW w:type="dxa" w:w="3118"/>
          </w:tcPr>
          <w:p>
            <w:pPr>
              <w:spacing w:after="60"/>
            </w:pPr>
            <w:r/>
            <w:r>
              <w:rPr>
                <w:b w:val="0"/>
                <w:sz w:val="20"/>
              </w:rPr>
              <w:t>Colónias em prédios privados</w:t>
            </w:r>
          </w:p>
        </w:tc>
        <w:tc>
          <w:tcPr>
            <w:tcW w:type="dxa" w:w="2268"/>
          </w:tcPr>
          <w:p>
            <w:pPr>
              <w:spacing w:after="60"/>
            </w:pPr>
            <w:r/>
            <w:r>
              <w:rPr>
                <w:b w:val="0"/>
                <w:sz w:val="20"/>
              </w:rPr>
              <w:t>art. 87.º</w:t>
            </w:r>
          </w:p>
        </w:tc>
        <w:tc>
          <w:tcPr>
            <w:tcW w:type="dxa" w:w="1531"/>
          </w:tcPr>
          <w:p>
            <w:pPr>
              <w:spacing w:after="60"/>
            </w:pPr>
            <w:r/>
            <w:r>
              <w:rPr>
                <w:b w:val="0"/>
                <w:sz w:val="20"/>
              </w:rPr>
              <w:t>Resolvido em parte</w:t>
            </w:r>
          </w:p>
        </w:tc>
        <w:tc>
          <w:tcPr>
            <w:tcW w:type="dxa" w:w="1304"/>
          </w:tcPr>
          <w:p>
            <w:pPr>
              <w:spacing w:after="60"/>
            </w:pPr>
            <w:r/>
            <w:r>
              <w:rPr>
                <w:b w:val="0"/>
                <w:sz w:val="20"/>
              </w:rPr>
              <w:t>Parcialmente resolvido</w:t>
            </w:r>
          </w:p>
        </w:tc>
      </w:tr>
      <w:tr>
        <w:tc>
          <w:tcPr>
            <w:tcW w:type="dxa" w:w="850"/>
          </w:tcPr>
          <w:p>
            <w:pPr>
              <w:spacing w:after="60"/>
            </w:pPr>
            <w:r/>
            <w:r>
              <w:rPr>
                <w:b w:val="0"/>
                <w:sz w:val="20"/>
              </w:rPr>
              <w:t>C-11</w:t>
            </w:r>
          </w:p>
        </w:tc>
        <w:tc>
          <w:tcPr>
            <w:tcW w:type="dxa" w:w="3118"/>
          </w:tcPr>
          <w:p>
            <w:pPr>
              <w:spacing w:after="60"/>
            </w:pPr>
            <w:r/>
            <w:r>
              <w:rPr>
                <w:b w:val="0"/>
                <w:sz w:val="20"/>
              </w:rPr>
              <w:t>CED e conservação da natureza</w:t>
            </w:r>
          </w:p>
        </w:tc>
        <w:tc>
          <w:tcPr>
            <w:tcW w:type="dxa" w:w="2268"/>
          </w:tcPr>
          <w:p>
            <w:pPr>
              <w:spacing w:after="60"/>
            </w:pPr>
            <w:r/>
            <w:r>
              <w:rPr>
                <w:b w:val="0"/>
                <w:sz w:val="20"/>
              </w:rPr>
              <w:t>art. 86.º, n.º 5</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C-12</w:t>
            </w:r>
          </w:p>
        </w:tc>
        <w:tc>
          <w:tcPr>
            <w:tcW w:type="dxa" w:w="3118"/>
          </w:tcPr>
          <w:p>
            <w:pPr>
              <w:spacing w:after="60"/>
            </w:pPr>
            <w:r/>
            <w:r>
              <w:rPr>
                <w:b w:val="0"/>
                <w:sz w:val="20"/>
              </w:rPr>
              <w:t>Gatos de colónia em infração permanente</w:t>
            </w:r>
          </w:p>
        </w:tc>
        <w:tc>
          <w:tcPr>
            <w:tcW w:type="dxa" w:w="2268"/>
          </w:tcPr>
          <w:p>
            <w:pPr>
              <w:spacing w:after="60"/>
            </w:pPr>
            <w:r/>
            <w:r>
              <w:rPr>
                <w:b w:val="0"/>
                <w:sz w:val="20"/>
              </w:rPr>
              <w:t>art. 60.º, n.º 1</w:t>
            </w:r>
          </w:p>
        </w:tc>
        <w:tc>
          <w:tcPr>
            <w:tcW w:type="dxa" w:w="1531"/>
          </w:tcPr>
          <w:p>
            <w:pPr>
              <w:spacing w:after="60"/>
            </w:pPr>
            <w:r/>
            <w:r>
              <w:rPr>
                <w:b w:val="0"/>
                <w:sz w:val="20"/>
              </w:rPr>
              <w:t>Criado pelo RGAC</w:t>
            </w:r>
          </w:p>
        </w:tc>
        <w:tc>
          <w:tcPr>
            <w:tcW w:type="dxa" w:w="1304"/>
          </w:tcPr>
          <w:p>
            <w:pPr>
              <w:spacing w:after="60"/>
            </w:pPr>
            <w:r/>
            <w:r>
              <w:rPr>
                <w:b w:val="0"/>
                <w:sz w:val="20"/>
              </w:rPr>
              <w:t>Aberto</w:t>
            </w:r>
          </w:p>
        </w:tc>
      </w:tr>
      <w:tr>
        <w:tc>
          <w:tcPr>
            <w:tcW w:type="dxa" w:w="850"/>
          </w:tcPr>
          <w:p>
            <w:pPr>
              <w:spacing w:after="60"/>
            </w:pPr>
            <w:r/>
            <w:r>
              <w:rPr>
                <w:b w:val="0"/>
                <w:sz w:val="20"/>
              </w:rPr>
              <w:t>C-13</w:t>
            </w:r>
          </w:p>
        </w:tc>
        <w:tc>
          <w:tcPr>
            <w:tcW w:type="dxa" w:w="3118"/>
          </w:tcPr>
          <w:p>
            <w:pPr>
              <w:spacing w:after="60"/>
            </w:pPr>
            <w:r/>
            <w:r>
              <w:rPr>
                <w:b w:val="0"/>
                <w:sz w:val="20"/>
              </w:rPr>
              <w:t>Crias e gatos sociáveis: retirar ou devolver</w:t>
            </w:r>
          </w:p>
        </w:tc>
        <w:tc>
          <w:tcPr>
            <w:tcW w:type="dxa" w:w="2268"/>
          </w:tcPr>
          <w:p>
            <w:pPr>
              <w:spacing w:after="60"/>
            </w:pPr>
            <w:r/>
            <w:r>
              <w:rPr>
                <w:b w:val="0"/>
                <w:sz w:val="20"/>
              </w:rPr>
              <w:t>art. 86.º, n.º 7</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C-14</w:t>
            </w:r>
          </w:p>
        </w:tc>
        <w:tc>
          <w:tcPr>
            <w:tcW w:type="dxa" w:w="3118"/>
          </w:tcPr>
          <w:p>
            <w:pPr>
              <w:spacing w:after="60"/>
            </w:pPr>
            <w:r/>
            <w:r>
              <w:rPr>
                <w:b w:val="0"/>
                <w:sz w:val="20"/>
              </w:rPr>
              <w:t>Suspensão do programa e recolha dos gatos sem garantias</w:t>
            </w:r>
          </w:p>
        </w:tc>
        <w:tc>
          <w:tcPr>
            <w:tcW w:type="dxa" w:w="2268"/>
          </w:tcPr>
          <w:p>
            <w:pPr>
              <w:spacing w:after="60"/>
            </w:pPr>
            <w:r/>
            <w:r>
              <w:rPr>
                <w:b w:val="0"/>
                <w:sz w:val="20"/>
              </w:rPr>
              <w:t>art. 86.º, n.ºs 2 e 9</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C-15</w:t>
            </w:r>
          </w:p>
        </w:tc>
        <w:tc>
          <w:tcPr>
            <w:tcW w:type="dxa" w:w="3118"/>
          </w:tcPr>
          <w:p>
            <w:pPr>
              <w:spacing w:after="60"/>
            </w:pPr>
            <w:r/>
            <w:r>
              <w:rPr>
                <w:b w:val="0"/>
                <w:sz w:val="20"/>
              </w:rPr>
              <w:t>Meios: médicos veterinários municipais e financiamento</w:t>
            </w:r>
          </w:p>
        </w:tc>
        <w:tc>
          <w:tcPr>
            <w:tcW w:type="dxa" w:w="2268"/>
          </w:tcPr>
          <w:p>
            <w:pPr>
              <w:spacing w:after="60"/>
            </w:pPr>
            <w:r/>
            <w:r>
              <w:rPr>
                <w:b w:val="0"/>
                <w:sz w:val="20"/>
              </w:rPr>
              <w:t>art. 86.º, n.ºs 1, 5 (segundo) e 10</w:t>
            </w:r>
          </w:p>
        </w:tc>
        <w:tc>
          <w:tcPr>
            <w:tcW w:type="dxa" w:w="1531"/>
          </w:tcPr>
          <w:p>
            <w:pPr>
              <w:spacing w:after="60"/>
            </w:pPr>
            <w:r/>
            <w:r>
              <w:rPr>
                <w:b w:val="0"/>
                <w:sz w:val="20"/>
              </w:rPr>
              <w:t>Já existia</w:t>
            </w:r>
          </w:p>
        </w:tc>
        <w:tc>
          <w:tcPr>
            <w:tcW w:type="dxa" w:w="1304"/>
          </w:tcPr>
          <w:p>
            <w:pPr>
              <w:spacing w:after="60"/>
            </w:pPr>
            <w:r/>
            <w:r>
              <w:rPr>
                <w:b w:val="0"/>
                <w:sz w:val="20"/>
              </w:rPr>
              <w:t>Aberto</w:t>
            </w:r>
          </w:p>
        </w:tc>
      </w:tr>
      <w:tr>
        <w:tc>
          <w:tcPr>
            <w:tcW w:type="dxa" w:w="850"/>
          </w:tcPr>
          <w:p>
            <w:pPr>
              <w:spacing w:after="60"/>
            </w:pPr>
            <w:r/>
            <w:r>
              <w:rPr>
                <w:b w:val="0"/>
                <w:sz w:val="20"/>
              </w:rPr>
              <w:t>C-16</w:t>
            </w:r>
          </w:p>
        </w:tc>
        <w:tc>
          <w:tcPr>
            <w:tcW w:type="dxa" w:w="3118"/>
          </w:tcPr>
          <w:p>
            <w:pPr>
              <w:spacing w:after="60"/>
            </w:pPr>
            <w:r/>
            <w:r>
              <w:rPr>
                <w:b w:val="0"/>
                <w:sz w:val="20"/>
              </w:rPr>
              <w:t>Conflito com vizinhos e dimensão da colónia</w:t>
            </w:r>
          </w:p>
        </w:tc>
        <w:tc>
          <w:tcPr>
            <w:tcW w:type="dxa" w:w="2268"/>
          </w:tcPr>
          <w:p>
            <w:pPr>
              <w:spacing w:after="60"/>
            </w:pPr>
            <w:r/>
            <w:r>
              <w:rPr>
                <w:b w:val="0"/>
                <w:sz w:val="20"/>
              </w:rPr>
              <w:t>art. 86.º, n.º 6 (segundo)</w:t>
            </w:r>
          </w:p>
        </w:tc>
        <w:tc>
          <w:tcPr>
            <w:tcW w:type="dxa" w:w="1531"/>
          </w:tcPr>
          <w:p>
            <w:pPr>
              <w:spacing w:after="60"/>
            </w:pPr>
            <w:r/>
            <w:r>
              <w:rPr>
                <w:b w:val="0"/>
                <w:sz w:val="20"/>
              </w:rPr>
              <w:t>Já existia</w:t>
            </w:r>
          </w:p>
        </w:tc>
        <w:tc>
          <w:tcPr>
            <w:tcW w:type="dxa" w:w="1304"/>
          </w:tcPr>
          <w:p>
            <w:pPr>
              <w:spacing w:after="60"/>
            </w:pPr>
            <w:r/>
            <w:r>
              <w:rPr>
                <w:b w:val="0"/>
                <w:sz w:val="20"/>
              </w:rPr>
              <w:t>Aberto</w:t>
            </w:r>
          </w:p>
        </w:tc>
      </w:tr>
    </w:tbl>
    <w:p/>
    <w:p>
      <w:r>
        <w:rPr>
          <w:b w:val="0"/>
          <w:i w:val="0"/>
        </w:rPr>
        <w:t>Total: 33 fichas, das quais 29 em aberto.</w:t>
      </w:r>
    </w:p>
    <w:p>
      <w:r>
        <w:br w:type="page"/>
      </w:r>
    </w:p>
    <w:p>
      <w:pPr>
        <w:pStyle w:val="Heading1"/>
      </w:pPr>
      <w:r>
        <w:rPr>
          <w:i w:val="0"/>
          <w:color w:val="000000"/>
        </w:rPr>
        <w:t>Anexo B. Posições de entidades externas</w:t>
      </w:r>
    </w:p>
    <w:p>
      <w:r>
        <w:rPr>
          <w:b w:val="0"/>
          <w:i w:val="0"/>
        </w:rPr>
        <w:t>Posições públicas e contributos recolhidos sobre os dois temas deste memorando. As citações estão entre aspas e foram transcritas das fontes indicadas. Tema T: titular, detentor, proprietário e operador. Tema C: CED, colónias e animais errantes.</w:t>
      </w:r>
    </w:p>
    <w:p>
      <w:r>
        <w:rPr>
          <w:b w:val="0"/>
          <w:i w:val="0"/>
        </w:rPr>
        <w:t>Por preencher.</w:t>
      </w:r>
    </w:p>
    <w:p>
      <w:r>
        <w:br w:type="page"/>
      </w: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1020"/>
          </w:tcPr>
          <w:p>
            <w:pPr>
              <w:spacing w:after="60"/>
            </w:pPr>
            <w:r/>
            <w:r>
              <w:rPr>
                <w:b/>
                <w:sz w:val="20"/>
              </w:rPr>
              <w:t>Versão</w:t>
            </w:r>
          </w:p>
        </w:tc>
        <w:tc>
          <w:tcPr>
            <w:tcW w:type="dxa" w:w="1417"/>
          </w:tcPr>
          <w:p>
            <w:pPr>
              <w:spacing w:after="60"/>
            </w:pPr>
            <w:r/>
            <w:r>
              <w:rPr>
                <w:b/>
                <w:sz w:val="20"/>
              </w:rPr>
              <w:t>Data</w:t>
            </w:r>
          </w:p>
        </w:tc>
        <w:tc>
          <w:tcPr>
            <w:tcW w:type="dxa" w:w="6633"/>
          </w:tcPr>
          <w:p>
            <w:pPr>
              <w:spacing w:after="60"/>
            </w:pPr>
            <w:r/>
            <w:r>
              <w:rPr>
                <w:b/>
                <w:sz w:val="20"/>
              </w:rPr>
              <w:t>Alterações</w:t>
            </w:r>
          </w:p>
        </w:tc>
      </w:tr>
      <w:tr>
        <w:tc>
          <w:tcPr>
            <w:tcW w:type="dxa" w:w="1020"/>
          </w:tcPr>
          <w:p>
            <w:pPr>
              <w:spacing w:after="60"/>
            </w:pPr>
            <w:r/>
            <w:r>
              <w:rPr>
                <w:b w:val="0"/>
                <w:sz w:val="20"/>
              </w:rPr>
              <w:t>1</w:t>
            </w:r>
          </w:p>
        </w:tc>
        <w:tc>
          <w:tcPr>
            <w:tcW w:type="dxa" w:w="1417"/>
          </w:tcPr>
          <w:p>
            <w:pPr>
              <w:spacing w:after="60"/>
            </w:pPr>
            <w:r/>
            <w:r>
              <w:rPr>
                <w:b w:val="0"/>
                <w:sz w:val="20"/>
              </w:rPr>
              <w:t>25.9.2026</w:t>
            </w:r>
          </w:p>
        </w:tc>
        <w:tc>
          <w:tcPr>
            <w:tcW w:type="dxa" w:w="6633"/>
          </w:tcPr>
          <w:p>
            <w:pPr>
              <w:spacing w:after="60"/>
            </w:pPr>
            <w:r/>
            <w:r>
              <w:rPr>
                <w:b w:val="0"/>
                <w:sz w:val="20"/>
              </w:rPr>
              <w:t>Primeira versão. Temas T (17 fichas) e C (16 fichas). Anexo de entidades externas.</w:t>
            </w:r>
          </w:p>
        </w:tc>
      </w:tr>
    </w:tbl>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