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color w:val="000000"/>
          <w:sz w:val="22"/>
        </w:rPr>
        <w:t>Para: Diretor-Geral de Alimentação e Veterinária &lt;dirgeral@dgav.pt&gt;</w:t>
      </w:r>
    </w:p>
    <w:p>
      <w:pPr>
        <w:spacing w:before="0" w:after="40" w:line="276" w:lineRule="auto"/>
        <w:jc w:val="left"/>
      </w:pPr>
      <w:r>
        <w:rPr>
          <w:color w:val="000000"/>
          <w:sz w:val="22"/>
        </w:rPr>
        <w:t>Assunto: RE: FW: Projeto Lei 780_XVII_2ª</w:t>
      </w:r>
    </w:p>
    <w:p>
      <w:pPr>
        <w:spacing w:before="0" w:after="360" w:line="276" w:lineRule="auto"/>
        <w:jc w:val="left"/>
      </w:pPr>
      <w:r>
        <w:rPr>
          <w:color w:val="000000"/>
          <w:sz w:val="22"/>
        </w:rPr>
        <w:t>Anexo: Parecer_DGAV_PL780_XVII_final.docx</w:t>
      </w:r>
    </w:p>
    <w:p>
      <w:pPr>
        <w:spacing w:before="0" w:after="240" w:line="276" w:lineRule="auto"/>
        <w:jc w:val="left"/>
      </w:pPr>
      <w:r>
        <w:rPr>
          <w:color w:val="000000"/>
          <w:sz w:val="22"/>
        </w:rPr>
        <w:t>Senhora Diretora-Geral,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Em resposta ao solicitado, junta-se o contributo sobre o Projeto de Lei n.º 780/XVII/2.ª, no que respeita ao bem-estar dos animais de companhia.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A iniciativa altera o artigo 387.º do Código Penal e adita a alínea h) ao n.º 3 do artigo 1.º da Lei n.º 92/95, de 12 de setembro. Tipifica a ofensa sexual a animal, no plano penal quanto aos animais de companhia e no plano contraordenacional quanto a qualquer animal.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Tanto o n.º 3 do artigo 7.º do Decreto-Lei n.º 276/2001, de 17 de outubro, como o n.º 3 do artigo 387.º do Código Penal exigem a prova de dor, sofrimento ou lesão, pelo que a ofensa sexual de que não resulte sofrimento nem lesão demonstráveis não tem hoje sanção. O efeito útil da iniciativa é dispensar essa prova.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Concorrem para a premência da alteração o impacto destas condutas no bem-estar animal e os riscos higiossanitários e zoonóticos associados, havendo casuística de lesões por esta via em número não residual, nem sempre com evidência externa identificável.</w:t>
      </w:r>
    </w:p>
    <w:p>
      <w:pPr>
        <w:spacing w:before="0" w:after="320" w:line="276" w:lineRule="auto"/>
        <w:jc w:val="both"/>
      </w:pPr>
      <w:r>
        <w:rPr>
          <w:color w:val="000000"/>
          <w:sz w:val="22"/>
        </w:rPr>
        <w:t>Não se identificam objeções técnicas quanto ao bem-estar animal, pelo que o parecer é favorável.</w:t>
      </w:r>
    </w:p>
    <w:p>
      <w:pPr>
        <w:spacing w:before="0" w:after="400" w:line="276" w:lineRule="auto"/>
        <w:jc w:val="left"/>
      </w:pPr>
      <w:r>
        <w:rPr>
          <w:color w:val="000000"/>
          <w:sz w:val="22"/>
        </w:rPr>
        <w:t>Com os melhores cumprimentos,</w:t>
      </w:r>
    </w:p>
    <w:p>
      <w:pPr>
        <w:spacing w:before="0" w:after="0" w:line="276" w:lineRule="auto"/>
        <w:jc w:val="left"/>
      </w:pPr>
      <w:r>
        <w:rPr>
          <w:color w:val="000000"/>
          <w:sz w:val="22"/>
        </w:rPr>
        <w:t>[assinatura]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