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1.32</w:t>
            </w:r>
          </w:p>
        </w:tc>
      </w:tr>
      <w:tr>
        <w:tc>
          <w:tcPr>
            <w:tcW w:w="2551" w:type="dxa"/>
          </w:tcPr>
          <w:p>
            <w:pPr>
              <w:spacing w:after="60"/>
            </w:pPr>
            <w:r/>
            <w:r>
              <w:rPr>
                <w:b/>
                <w:sz w:val="20"/>
              </w:rPr>
              <w:t>Data</w:t>
            </w:r>
          </w:p>
        </w:tc>
        <w:tc>
          <w:tcPr>
            <w:tcW w:w="6520" w:type="dxa"/>
          </w:tcPr>
          <w:p>
            <w:pPr>
              <w:spacing w:after="60"/>
            </w:pPr>
            <w:r/>
            <w:r>
              <w:rPr>
                <w:b w:val="0"/>
                <w:sz w:val="20"/>
              </w:rPr>
              <w:t>22.10.2026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0"/>
        <w:ind w:left="567"/>
      </w:pPr>
      <w:r>
        <w:rPr>
          <w:b w:val="0"/>
          <w:i w:val="0"/>
        </w:rPr>
        <w:t>BEM-02. Nada sobre animais de companhia em acidente grave ou catástrofe (art. 25.º)</w:t>
      </w:r>
    </w:p>
    <w:p>
      <w:pPr>
        <w:spacing w:after="0"/>
        <w:ind w:left="567"/>
      </w:pPr>
      <w:r>
        <w:rPr>
          <w:b w:val="0"/>
          <w:i w:val="0"/>
        </w:rPr>
        <w:t>EST-01.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SAN-02. A recolha por razões de bem-estar passa da DGAV para as câmaras e o destino para o médico veterinário municipal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0"/>
        <w:ind w:left="567"/>
      </w:pPr>
      <w:r>
        <w:rPr>
          <w:b w:val="0"/>
          <w:i w:val="0"/>
        </w:rPr>
        <w:t>TIT-21.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PER-01. Duas vias para retirar a classificação de perigoso, sem ligação entre elas (art. 120.º)</w:t>
      </w:r>
    </w:p>
    <w:p>
      <w:pPr>
        <w:spacing w:after="40"/>
      </w:pPr>
    </w:p>
    <w:p>
      <w:pPr>
        <w:spacing w:after="40"/>
      </w:pPr>
      <w:r>
        <w:rPr>
          <w:b/>
          <w:i w:val="0"/>
        </w:rPr>
        <w:t>10. Capítulo XV. Medidas administrativas, fiscalização e contraordenações</w:t>
      </w:r>
    </w:p>
    <w:p>
      <w:pPr>
        <w:spacing w:after="0"/>
        <w:ind w:left="567"/>
      </w:pPr>
      <w:r>
        <w:rPr>
          <w:b w:val="0"/>
          <w:i w:val="0"/>
        </w:rPr>
        <w:t>SAN-05. O dever geral de colaboração de terceiros e a coima por recusa de informações não passam para o RGAC (art. 138.º)</w:t>
      </w:r>
    </w:p>
    <w:p>
      <w:pPr>
        <w:spacing w:after="0"/>
        <w:ind w:left="567"/>
      </w:pPr>
      <w:r>
        <w:rPr>
          <w:b w:val="0"/>
          <w:i w:val="0"/>
        </w:rPr>
        <w:t>SAN-03. A apreensão provisória serve só as contraordenações e admite devolver os animais ao local de origem (art. 139.º)</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0"/>
        <w:ind w:left="567"/>
      </w:pPr>
      <w:r>
        <w:rPr>
          <w:b w:val="0"/>
          <w:i w:val="0"/>
        </w:rPr>
        <w:t>SAN-04.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TIT-21,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BEM-02.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TIT-21).</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TIT-21</w:t>
            </w:r>
          </w:p>
        </w:tc>
      </w:tr>
    </w:tbl>
    <w:p/>
    <w:p>
      <w:pPr>
        <w:pStyle w:val="Heading2"/>
      </w:pPr>
      <w:r>
        <w:rPr>
          <w:i w:val="0"/>
          <w:color w:val="000000"/>
        </w:rPr>
        <w:t>EST-01.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SAN-04).</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SAN-04, SAN-03, SAN-02, BEM-02</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SAN-02.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FIN-01)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 SAN-03, TIT-21</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pPr>
        <w:pStyle w:val="Heading2"/>
      </w:pPr>
      <w:r>
        <w:rPr>
          <w:i w:val="0"/>
          <w:color w:val="000000"/>
        </w:rPr>
        <w:t>TIT-21.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BEM-02, TIT-05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PER-01.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SAN-05.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SAN-01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SAN-01).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w:t>
            </w:r>
          </w:p>
        </w:tc>
      </w:tr>
    </w:tbl>
    <w:p/>
    <w:p>
      <w:pPr>
        <w:pStyle w:val="Heading2"/>
      </w:pPr>
      <w:r>
        <w:rPr>
          <w:i w:val="0"/>
          <w:color w:val="000000"/>
        </w:rPr>
        <w:t>SAN-03.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TIT-21, SAN-01</w:t>
            </w:r>
          </w:p>
        </w:tc>
      </w:tr>
    </w:tbl>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pPr>
        <w:pStyle w:val="Heading2"/>
      </w:pPr>
      <w:r>
        <w:rPr>
          <w:i w:val="0"/>
          <w:color w:val="000000"/>
        </w:rPr>
        <w:t>SAN-04.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EST-01, SAN-03</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BEM-02</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EST-01</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SAN-02</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TIT-21</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PER-01</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SAN-05</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SAN-03</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SAN-04</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52 fichas, das quais 48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15</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65</w:t>
            </w:r>
          </w:p>
        </w:tc>
        <w:tc>
          <w:tcPr>
            <w:tcW w:w="1701" w:type="dxa"/>
          </w:tcPr>
          <w:p>
            <w:pPr>
              <w:spacing w:after="60"/>
            </w:pPr>
            <w:r/>
            <w:r>
              <w:rPr>
                <w:b/>
                <w:sz w:val="20"/>
              </w:rPr>
              <w:t>88</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BEM-02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EST-01,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EST-01, SAN-04,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EST-01,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 TIT-21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SAN-02,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SAN-02, TIT-21, BEM-02,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PER-01,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SAN-05,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SAN-03, 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SAN-03, EST-01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SAN-05,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EST-01, SAN-04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 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(21)</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(11)</w:t>
      </w:r>
    </w:p>
    <w:p>
      <w:pPr>
        <w:spacing w:after="20"/>
        <w:ind w:left="454"/>
      </w:pPr>
      <w:r>
        <w:rPr>
          <w:b w:val="0"/>
          <w:i w:val="0"/>
        </w:rPr>
        <w:t>REG-01. Duas normas diferentes sobre que espécies são animais de companhia (art. 2.º, cap. I)</w:t>
      </w:r>
    </w:p>
    <w:p>
      <w:pPr>
        <w:spacing w:after="20"/>
        <w:ind w:left="454"/>
      </w:pPr>
      <w:r>
        <w:rPr>
          <w:b w:val="0"/>
          <w:i w:val="0"/>
        </w:rPr>
        <w:t>BEM-02. Nada sobre animais de companhia em acidente grave ou catástrofe (art. 25.º,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PER-01. Duas vias para retirar a classificação de perigoso, sem ligação entre elas (art. 120.º, cap. XIV)</w:t>
      </w:r>
    </w:p>
    <w:p>
      <w:pPr>
        <w:spacing w:after="20"/>
        <w:ind w:left="454"/>
      </w:pPr>
      <w:r>
        <w:rPr>
          <w:b w:val="0"/>
          <w:i w:val="0"/>
        </w:rPr>
        <w:t>SAN-03. A apreensão provisória serve só as contraordenações e admite devolver os animais ao local de origem (art. 139.º, cap. XV)</w:t>
      </w:r>
    </w:p>
    <w:p>
      <w:pPr>
        <w:pStyle w:val="Heading2"/>
      </w:pPr>
      <w:r>
        <w:rPr>
          <w:i w:val="0"/>
          <w:color w:val="000000"/>
        </w:rPr>
        <w:t>EST. Estabelecimentos e operadores (6)</w:t>
      </w:r>
    </w:p>
    <w:p>
      <w:pPr>
        <w:spacing w:after="20"/>
        <w:ind w:left="454"/>
      </w:pPr>
      <w:r>
        <w:rPr>
          <w:b w:val="0"/>
          <w:i w:val="0"/>
        </w:rPr>
        <w:t>TIT-12. Redação por decidir no art. 22.º (art. 22.º, cap. IV)</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SAN-01. Os deveres dos CRO e o relatório anual ficam sem coima (art. 140.º, cap. XV)</w:t>
      </w:r>
    </w:p>
    <w:p>
      <w:pPr>
        <w:spacing w:after="20"/>
        <w:ind w:left="454"/>
      </w:pPr>
      <w:r>
        <w:rPr>
          <w:b w:val="0"/>
          <w:i w:val="0"/>
        </w:rPr>
        <w:t>SAN-04. As sanções acessórias perdem a interdição do exercício da atividade (art. 141.º, cap. XV)</w:t>
      </w:r>
    </w:p>
    <w:p>
      <w:pPr>
        <w:pStyle w:val="Heading2"/>
      </w:pPr>
      <w:r>
        <w:rPr>
          <w:i w:val="0"/>
          <w:color w:val="000000"/>
        </w:rPr>
        <w:t>SAN. Fiscalização e contraordenações (9)</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SAN-03. A apreensão provisória serve só as contraordenações e admite devolver os animais ao local de origem (art. 139.º, cap. XV)</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SAN-04. As sanções acessórias perdem a interdição do exercício da atividade (art. 141.º,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(5)</w:t>
      </w:r>
    </w:p>
    <w:p>
      <w:pPr>
        <w:spacing w:after="20"/>
        <w:ind w:left="454"/>
      </w:pPr>
      <w:r>
        <w:rPr>
          <w:b w:val="0"/>
          <w:i w:val="0"/>
        </w:rPr>
        <w:t>BEM-01. A amarração no domicílio fica sem duração máxima nem requisitos verificáveis (art. 19.º, cap. II)</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PER. Animais perigosos (1)</w:t>
      </w:r>
    </w:p>
    <w:p>
      <w:pPr>
        <w:spacing w:after="20"/>
        <w:ind w:left="454"/>
      </w:pPr>
      <w:r>
        <w:rPr>
          <w:b w:val="0"/>
          <w:i w:val="0"/>
        </w:rPr>
        <w:t>PER-01. Duas vias para retirar a classificação de perigoso, sem ligação entre elas (art. 120.º, cap. XIV)</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r>
        <w:tc>
          <w:tcPr>
            <w:tcW w:w="1247" w:type="dxa"/>
          </w:tcPr>
          <w:p>
            <w:pPr>
              <w:spacing w:after="60"/>
            </w:pPr>
            <w:r/>
            <w:r>
              <w:rPr>
                <w:b w:val="0"/>
                <w:sz w:val="20"/>
              </w:rPr>
              <w:t>G-01</w:t>
            </w:r>
          </w:p>
        </w:tc>
        <w:tc>
          <w:tcPr>
            <w:tcW w:w="1247" w:type="dxa"/>
          </w:tcPr>
          <w:p>
            <w:pPr>
              <w:spacing w:after="60"/>
            </w:pPr>
            <w:r/>
            <w:r>
              <w:rPr>
                <w:b w:val="0"/>
                <w:sz w:val="20"/>
              </w:rPr>
              <w:t>P-45</w:t>
            </w:r>
          </w:p>
        </w:tc>
        <w:tc>
          <w:tcPr>
            <w:tcW w:w="1474" w:type="dxa"/>
          </w:tcPr>
          <w:p>
            <w:pPr>
              <w:spacing w:after="60"/>
            </w:pPr>
            <w:r/>
            <w:r>
              <w:rPr>
                <w:b w:val="0"/>
                <w:sz w:val="20"/>
              </w:rPr>
              <w:t>SAN-02</w:t>
            </w:r>
          </w:p>
        </w:tc>
        <w:tc>
          <w:tcPr>
            <w:tcW w:w="5102" w:type="dxa"/>
          </w:tcPr>
          <w:p>
            <w:pPr>
              <w:spacing w:after="60"/>
            </w:pPr>
            <w:r/>
            <w:r>
              <w:rPr>
                <w:b w:val="0"/>
                <w:sz w:val="20"/>
              </w:rPr>
              <w:t>A recolha por razões de bem-estar passa da DGAV para as câmaras e o destino para o médico veterinário municipal</w:t>
            </w:r>
          </w:p>
        </w:tc>
      </w:tr>
      <w:tr>
        <w:tc>
          <w:tcPr>
            <w:tcW w:w="1247" w:type="dxa"/>
          </w:tcPr>
          <w:p>
            <w:pPr>
              <w:spacing w:after="60"/>
            </w:pPr>
            <w:r/>
            <w:r>
              <w:rPr>
                <w:b w:val="0"/>
                <w:sz w:val="20"/>
              </w:rPr>
              <w:t>G-02</w:t>
            </w:r>
          </w:p>
        </w:tc>
        <w:tc>
          <w:tcPr>
            <w:tcW w:w="1247" w:type="dxa"/>
          </w:tcPr>
          <w:p>
            <w:pPr>
              <w:spacing w:after="60"/>
            </w:pPr>
            <w:r/>
            <w:r>
              <w:rPr>
                <w:b w:val="0"/>
                <w:sz w:val="20"/>
              </w:rPr>
              <w:t>P-46</w:t>
            </w:r>
          </w:p>
        </w:tc>
        <w:tc>
          <w:tcPr>
            <w:tcW w:w="1474" w:type="dxa"/>
          </w:tcPr>
          <w:p>
            <w:pPr>
              <w:spacing w:after="60"/>
            </w:pPr>
            <w:r/>
            <w:r>
              <w:rPr>
                <w:b w:val="0"/>
                <w:sz w:val="20"/>
              </w:rPr>
              <w:t>TIT-21</w:t>
            </w:r>
          </w:p>
        </w:tc>
        <w:tc>
          <w:tcPr>
            <w:tcW w:w="5102" w:type="dxa"/>
          </w:tcPr>
          <w:p>
            <w:pPr>
              <w:spacing w:after="60"/>
            </w:pPr>
            <w:r/>
            <w:r>
              <w:rPr>
                <w:b w:val="0"/>
                <w:sz w:val="20"/>
              </w:rPr>
              <w:t>A presunção de abandono aos 15 dias não ressalva animais apreendidos nem animais socorridos em emergência</w:t>
            </w:r>
          </w:p>
        </w:tc>
      </w:tr>
      <w:tr>
        <w:tc>
          <w:tcPr>
            <w:tcW w:w="1247" w:type="dxa"/>
          </w:tcPr>
          <w:p>
            <w:pPr>
              <w:spacing w:after="60"/>
            </w:pPr>
            <w:r/>
            <w:r>
              <w:rPr>
                <w:b w:val="0"/>
                <w:sz w:val="20"/>
              </w:rPr>
              <w:t>S-02</w:t>
            </w:r>
          </w:p>
        </w:tc>
        <w:tc>
          <w:tcPr>
            <w:tcW w:w="1247" w:type="dxa"/>
          </w:tcPr>
          <w:p>
            <w:pPr>
              <w:spacing w:after="60"/>
            </w:pPr>
            <w:r/>
            <w:r>
              <w:rPr>
                <w:b w:val="0"/>
                <w:sz w:val="20"/>
              </w:rPr>
              <w:t>P-47</w:t>
            </w:r>
          </w:p>
        </w:tc>
        <w:tc>
          <w:tcPr>
            <w:tcW w:w="1474" w:type="dxa"/>
          </w:tcPr>
          <w:p>
            <w:pPr>
              <w:spacing w:after="60"/>
            </w:pPr>
            <w:r/>
            <w:r>
              <w:rPr>
                <w:b w:val="0"/>
                <w:sz w:val="20"/>
              </w:rPr>
              <w:t>SAN-03</w:t>
            </w:r>
          </w:p>
        </w:tc>
        <w:tc>
          <w:tcPr>
            <w:tcW w:w="5102" w:type="dxa"/>
          </w:tcPr>
          <w:p>
            <w:pPr>
              <w:spacing w:after="60"/>
            </w:pPr>
            <w:r/>
            <w:r>
              <w:rPr>
                <w:b w:val="0"/>
                <w:sz w:val="20"/>
              </w:rPr>
              <w:t>A apreensão provisória serve só as contraordenações e admite devolver os animais ao local de origem</w:t>
            </w:r>
          </w:p>
        </w:tc>
      </w:tr>
      <w:tr>
        <w:tc>
          <w:tcPr>
            <w:tcW w:w="1247" w:type="dxa"/>
          </w:tcPr>
          <w:p>
            <w:pPr>
              <w:spacing w:after="60"/>
            </w:pPr>
            <w:r/>
            <w:r>
              <w:rPr>
                <w:b w:val="0"/>
                <w:sz w:val="20"/>
              </w:rPr>
              <w:t>E-01</w:t>
            </w:r>
          </w:p>
        </w:tc>
        <w:tc>
          <w:tcPr>
            <w:tcW w:w="1247" w:type="dxa"/>
          </w:tcPr>
          <w:p>
            <w:pPr>
              <w:spacing w:after="60"/>
            </w:pPr>
            <w:r/>
            <w:r>
              <w:rPr>
                <w:b w:val="0"/>
                <w:sz w:val="20"/>
              </w:rPr>
              <w:t>P-48</w:t>
            </w:r>
          </w:p>
        </w:tc>
        <w:tc>
          <w:tcPr>
            <w:tcW w:w="1474" w:type="dxa"/>
          </w:tcPr>
          <w:p>
            <w:pPr>
              <w:spacing w:after="60"/>
            </w:pPr>
            <w:r/>
            <w:r>
              <w:rPr>
                <w:b w:val="0"/>
                <w:sz w:val="20"/>
              </w:rPr>
              <w:t>BEM-02</w:t>
            </w:r>
          </w:p>
        </w:tc>
        <w:tc>
          <w:tcPr>
            <w:tcW w:w="5102" w:type="dxa"/>
          </w:tcPr>
          <w:p>
            <w:pPr>
              <w:spacing w:after="60"/>
            </w:pPr>
            <w:r/>
            <w:r>
              <w:rPr>
                <w:b w:val="0"/>
                <w:sz w:val="20"/>
              </w:rPr>
              <w:t>Nada sobre animais de companhia em acidente grave ou catástrofe</w:t>
            </w:r>
          </w:p>
        </w:tc>
      </w:tr>
      <w:tr>
        <w:tc>
          <w:tcPr>
            <w:tcW w:w="1247" w:type="dxa"/>
          </w:tcPr>
          <w:p>
            <w:pPr>
              <w:spacing w:after="60"/>
            </w:pPr>
            <w:r/>
            <w:r>
              <w:rPr>
                <w:b w:val="0"/>
                <w:sz w:val="20"/>
              </w:rPr>
              <w:t>D-01</w:t>
            </w:r>
          </w:p>
        </w:tc>
        <w:tc>
          <w:tcPr>
            <w:tcW w:w="1247" w:type="dxa"/>
          </w:tcPr>
          <w:p>
            <w:pPr>
              <w:spacing w:after="60"/>
            </w:pPr>
            <w:r/>
            <w:r>
              <w:rPr>
                <w:b w:val="0"/>
                <w:sz w:val="20"/>
              </w:rPr>
              <w:t>P-49</w:t>
            </w:r>
          </w:p>
        </w:tc>
        <w:tc>
          <w:tcPr>
            <w:tcW w:w="1474" w:type="dxa"/>
          </w:tcPr>
          <w:p>
            <w:pPr>
              <w:spacing w:after="60"/>
            </w:pPr>
            <w:r/>
            <w:r>
              <w:rPr>
                <w:b w:val="0"/>
                <w:sz w:val="20"/>
              </w:rPr>
              <w:t>PER-01</w:t>
            </w:r>
          </w:p>
        </w:tc>
        <w:tc>
          <w:tcPr>
            <w:tcW w:w="5102" w:type="dxa"/>
          </w:tcPr>
          <w:p>
            <w:pPr>
              <w:spacing w:after="60"/>
            </w:pPr>
            <w:r/>
            <w:r>
              <w:rPr>
                <w:b w:val="0"/>
                <w:sz w:val="20"/>
              </w:rPr>
              <w:t>Duas vias para retirar a classificação de perigoso, sem ligação entre elas</w:t>
            </w:r>
          </w:p>
        </w:tc>
      </w:tr>
      <w:tr>
        <w:tc>
          <w:tcPr>
            <w:tcW w:w="1247" w:type="dxa"/>
          </w:tcPr>
          <w:p>
            <w:pPr>
              <w:spacing w:after="60"/>
            </w:pPr>
            <w:r/>
            <w:r>
              <w:rPr>
                <w:b w:val="0"/>
                <w:sz w:val="20"/>
              </w:rPr>
              <w:t>E-02</w:t>
            </w:r>
          </w:p>
        </w:tc>
        <w:tc>
          <w:tcPr>
            <w:tcW w:w="1247" w:type="dxa"/>
          </w:tcPr>
          <w:p>
            <w:pPr>
              <w:spacing w:after="60"/>
            </w:pPr>
            <w:r/>
            <w:r>
              <w:rPr>
                <w:b w:val="0"/>
                <w:sz w:val="20"/>
              </w:rPr>
              <w:t>P-50</w:t>
            </w:r>
          </w:p>
        </w:tc>
        <w:tc>
          <w:tcPr>
            <w:tcW w:w="1474" w:type="dxa"/>
          </w:tcPr>
          <w:p>
            <w:pPr>
              <w:spacing w:after="60"/>
            </w:pPr>
            <w:r/>
            <w:r>
              <w:rPr>
                <w:b w:val="0"/>
                <w:sz w:val="20"/>
              </w:rPr>
              <w:t>EST-01</w:t>
            </w:r>
          </w:p>
        </w:tc>
        <w:tc>
          <w:tcPr>
            <w:tcW w:w="5102" w:type="dxa"/>
          </w:tcPr>
          <w:p>
            <w:pPr>
              <w:spacing w:after="60"/>
            </w:pPr>
            <w:r/>
            <w:r>
              <w:rPr>
                <w:b w:val="0"/>
                <w:sz w:val="20"/>
              </w:rPr>
              <w:t>O encerramento de estabelecimentos fica sem medida cautelar, sem regra para os animais e sem efeito no registo</w:t>
            </w:r>
          </w:p>
        </w:tc>
      </w:tr>
      <w:tr>
        <w:tc>
          <w:tcPr>
            <w:tcW w:w="1247" w:type="dxa"/>
          </w:tcPr>
          <w:p>
            <w:pPr>
              <w:spacing w:after="60"/>
            </w:pPr>
            <w:r/>
            <w:r>
              <w:rPr>
                <w:b w:val="0"/>
                <w:sz w:val="20"/>
              </w:rPr>
              <w:t>S-03</w:t>
            </w:r>
          </w:p>
        </w:tc>
        <w:tc>
          <w:tcPr>
            <w:tcW w:w="1247" w:type="dxa"/>
          </w:tcPr>
          <w:p>
            <w:pPr>
              <w:spacing w:after="60"/>
            </w:pPr>
            <w:r/>
            <w:r>
              <w:rPr>
                <w:b w:val="0"/>
                <w:sz w:val="20"/>
              </w:rPr>
              <w:t>P-51</w:t>
            </w:r>
          </w:p>
        </w:tc>
        <w:tc>
          <w:tcPr>
            <w:tcW w:w="1474" w:type="dxa"/>
          </w:tcPr>
          <w:p>
            <w:pPr>
              <w:spacing w:after="60"/>
            </w:pPr>
            <w:r/>
            <w:r>
              <w:rPr>
                <w:b w:val="0"/>
                <w:sz w:val="20"/>
              </w:rPr>
              <w:t>SAN-04</w:t>
            </w:r>
          </w:p>
        </w:tc>
        <w:tc>
          <w:tcPr>
            <w:tcW w:w="5102" w:type="dxa"/>
          </w:tcPr>
          <w:p>
            <w:pPr>
              <w:spacing w:after="60"/>
            </w:pPr>
            <w:r/>
            <w:r>
              <w:rPr>
                <w:b w:val="0"/>
                <w:sz w:val="20"/>
              </w:rPr>
              <w:t>As sanções acessórias perdem a interdição do exercício da atividade</w:t>
            </w:r>
          </w:p>
        </w:tc>
      </w:tr>
      <w:tr>
        <w:tc>
          <w:tcPr>
            <w:tcW w:w="1247" w:type="dxa"/>
          </w:tcPr>
          <w:p>
            <w:pPr>
              <w:spacing w:after="60"/>
            </w:pPr>
            <w:r/>
            <w:r>
              <w:rPr>
                <w:b w:val="0"/>
                <w:sz w:val="20"/>
              </w:rPr>
              <w:t>S-04</w:t>
            </w:r>
          </w:p>
        </w:tc>
        <w:tc>
          <w:tcPr>
            <w:tcW w:w="1247" w:type="dxa"/>
          </w:tcPr>
          <w:p>
            <w:pPr>
              <w:spacing w:after="60"/>
            </w:pPr>
            <w:r/>
            <w:r>
              <w:rPr>
                <w:b w:val="0"/>
                <w:sz w:val="20"/>
              </w:rPr>
              <w:t>P-52</w:t>
            </w:r>
          </w:p>
        </w:tc>
        <w:tc>
          <w:tcPr>
            <w:tcW w:w="1474" w:type="dxa"/>
          </w:tcPr>
          <w:p>
            <w:pPr>
              <w:spacing w:after="60"/>
            </w:pPr>
            <w:r/>
            <w:r>
              <w:rPr>
                <w:b w:val="0"/>
                <w:sz w:val="20"/>
              </w:rPr>
              <w:t>SAN-05</w:t>
            </w:r>
          </w:p>
        </w:tc>
        <w:tc>
          <w:tcPr>
            <w:tcW w:w="5102"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1.32.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