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lays down:</w:t>
            </w:r>
          </w:p>
          <w:p>
            <w:pPr>
              <w:spacing w:after="0" w:before="20"/>
              <w:ind w:right="80" w:left="360" w:hanging="280"/>
            </w:pPr>
            <w:r>
              <w:rPr>
                <w:rFonts w:ascii="Calibri" w:hAnsi="Calibri"/>
                <w:b w:val="0"/>
                <w:i w:val="0"/>
                <w:color w:val="222222"/>
                <w:sz w:val="19"/>
              </w:rPr>
              <w:t>(a) minimum requirements for the welfare of dogs and cats bred or kept in establishments or placed on the market of the Union; and</w:t>
            </w:r>
          </w:p>
          <w:p>
            <w:pPr>
              <w:spacing w:after="0" w:before="20"/>
              <w:ind w:right="80" w:left="360" w:hanging="280"/>
            </w:pPr>
            <w:r>
              <w:rPr>
                <w:rFonts w:ascii="Calibri" w:hAnsi="Calibri"/>
                <w:b w:val="0"/>
                <w:i w:val="0"/>
                <w:color w:val="222222"/>
                <w:sz w:val="19"/>
              </w:rPr>
              <w:t>(b) rules on the traceability of dogs and cats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w:t>
            </w:r>
          </w:p>
          <w:p>
            <w:pPr>
              <w:spacing w:after="0" w:before="20"/>
              <w:ind w:right="80" w:left="360" w:hanging="280"/>
            </w:pPr>
            <w:r>
              <w:rPr>
                <w:rFonts w:ascii="Calibri" w:hAnsi="Calibri"/>
                <w:b w:val="0"/>
                <w:i/>
                <w:color w:val="222222"/>
                <w:sz w:val="19"/>
              </w:rPr>
              <w:t>a) Os requisitos mínimos para o bem-estar dos cães e gatos criados ou detidos em estabelecimentos ou colocados no mercado da União;</w:t>
            </w:r>
          </w:p>
          <w:p>
            <w:pPr>
              <w:spacing w:after="0" w:before="20"/>
              <w:ind w:right="80" w:left="360" w:hanging="280"/>
            </w:pPr>
            <w:r>
              <w:rPr>
                <w:rFonts w:ascii="Calibri" w:hAnsi="Calibri"/>
                <w:b w:val="0"/>
                <w:i/>
                <w:color w:val="222222"/>
                <w:sz w:val="19"/>
              </w:rPr>
              <w:t>b) A rastreabilidade dos cães e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applies to the breeding, keeping, tracing, placing on the market and entry into the Union of dogs and cats ▌.</w:t>
            </w:r>
          </w:p>
          <w:p>
            <w:pPr>
              <w:spacing w:after="0" w:before="20"/>
              <w:ind w:right="80" w:left="80" w:firstLine="0"/>
            </w:pPr>
            <w:r>
              <w:rPr>
                <w:rFonts w:ascii="Calibri" w:hAnsi="Calibri"/>
                <w:b w:val="0"/>
                <w:i w:val="0"/>
                <w:color w:val="222222"/>
                <w:sz w:val="19"/>
              </w:rPr>
              <w:t>2. This Regulation does not apply to the breeding, keeping or placing on the market or entry into the Union of dogs or cats intended or used for scientific purposes or for clinical trials required for the marketing authorisation of veterinary medicinal products.</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aplica-se à criação, à detenção, ao rastreio, à colocação no mercado e à entrada na União de cães e gatos.</w:t>
            </w:r>
          </w:p>
          <w:p>
            <w:pPr>
              <w:spacing w:after="0" w:before="20"/>
              <w:ind w:right="80" w:left="80" w:firstLine="0"/>
            </w:pPr>
            <w:r>
              <w:rPr>
                <w:rFonts w:ascii="Calibri" w:hAnsi="Calibri"/>
                <w:b w:val="0"/>
                <w:i/>
                <w:color w:val="222222"/>
                <w:sz w:val="19"/>
              </w:rPr>
              <w:t>2. O presente regulamento não se aplica à criação, detenção ou colocação no mercado ou à entrada na União de cães ou gatos destinados ou utilizados para fins científicos ou para ensaios clínicos exigidos para a autorização de comercialização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Chapter II of this Regulation applies to all operators.</w:t>
            </w:r>
          </w:p>
          <w:p>
            <w:pPr>
              <w:spacing w:after="0" w:before="20"/>
              <w:ind w:right="80" w:left="80" w:firstLine="0"/>
            </w:pPr>
            <w:r>
              <w:rPr>
                <w:rFonts w:ascii="Calibri" w:hAnsi="Calibri"/>
                <w:b w:val="0"/>
                <w:i w:val="0"/>
                <w:color w:val="222222"/>
                <w:sz w:val="19"/>
              </w:rPr>
              <w:t>2. Chapter III of this Regulation applies to all natural and legal persons owning dogs or cats in the Union.</w:t>
            </w:r>
          </w:p>
          <w:p>
            <w:pPr>
              <w:spacing w:after="0" w:before="20"/>
              <w:ind w:right="80" w:left="80" w:firstLine="0"/>
            </w:pPr>
            <w:r>
              <w:rPr>
                <w:rFonts w:ascii="Calibri" w:hAnsi="Calibri"/>
                <w:b w:val="0"/>
                <w:i w:val="0"/>
                <w:color w:val="222222"/>
                <w:sz w:val="19"/>
              </w:rPr>
              <w:t>3. Chapter IV applies to all natural and legal persons who bring dogs or cats into the Union.</w:t>
            </w:r>
          </w:p>
          <w:p>
            <w:pPr>
              <w:spacing w:after="0" w:before="20"/>
              <w:ind w:right="80" w:left="80" w:firstLine="0"/>
            </w:pPr>
            <w:r>
              <w:rPr>
                <w:rFonts w:ascii="Calibri" w:hAnsi="Calibri"/>
                <w:b w:val="0"/>
                <w:i w:val="0"/>
                <w:color w:val="222222"/>
                <w:sz w:val="19"/>
              </w:rPr>
              <w:t>4. 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capítulo II do presente regulamento aplica-se a todos os operadores.</w:t>
            </w:r>
          </w:p>
          <w:p>
            <w:pPr>
              <w:spacing w:after="0" w:before="20"/>
              <w:ind w:right="80" w:left="80" w:firstLine="0"/>
            </w:pPr>
            <w:r>
              <w:rPr>
                <w:rFonts w:ascii="Calibri" w:hAnsi="Calibri"/>
                <w:b w:val="0"/>
                <w:i/>
                <w:color w:val="222222"/>
                <w:sz w:val="19"/>
              </w:rPr>
              <w:t>2. O capítulo III do presente regulamento aplica-se a todas as pessoas singulares e coletivas proprietárias de cães e gatos na União.</w:t>
            </w:r>
          </w:p>
          <w:p>
            <w:pPr>
              <w:spacing w:after="0" w:before="20"/>
              <w:ind w:right="80" w:left="80" w:firstLine="0"/>
            </w:pPr>
            <w:r>
              <w:rPr>
                <w:rFonts w:ascii="Calibri" w:hAnsi="Calibri"/>
                <w:b w:val="0"/>
                <w:i/>
                <w:color w:val="222222"/>
                <w:sz w:val="19"/>
              </w:rPr>
              <w:t>3. O capítulo IV aplica-se a todas as pessoas singulares e coletivas que introduzam cães ou gatos na União.</w:t>
            </w:r>
          </w:p>
          <w:p>
            <w:pPr>
              <w:spacing w:after="0" w:before="20"/>
              <w:ind w:right="80" w:left="80" w:firstLine="0"/>
            </w:pPr>
            <w:r>
              <w:rPr>
                <w:rFonts w:ascii="Calibri" w:hAnsi="Calibri"/>
                <w:b w:val="0"/>
                <w:i/>
                <w:color w:val="222222"/>
                <w:sz w:val="19"/>
              </w:rPr>
              <w:t>4. O presente regulamento não aplica-se a agricultores que, na sua exploração, ofereçam refúgio a gatos vadios em liberdade que sejam úteis para controlo de pragas, desde que esses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this Regulation, the following definitions apply:</w:t>
            </w:r>
          </w:p>
          <w:p>
            <w:pPr>
              <w:spacing w:after="0" w:before="20"/>
              <w:ind w:right="80" w:left="80" w:firstLine="0"/>
            </w:pPr>
            <w:r>
              <w:rPr>
                <w:rFonts w:ascii="Calibri" w:hAnsi="Calibri"/>
                <w:b w:val="0"/>
                <w:i w:val="0"/>
                <w:color w:val="222222"/>
                <w:sz w:val="19"/>
              </w:rPr>
              <w:t>1. 'dog' means an animal of the species Canis lupus familiaris;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2. 'cat' means an animal of the species Felis silvestris catus;</w:t>
            </w:r>
          </w:p>
          <w:p>
            <w:pPr>
              <w:spacing w:after="0" w:before="20"/>
              <w:ind w:right="80" w:left="80" w:firstLine="0"/>
            </w:pPr>
            <w:r>
              <w:rPr>
                <w:rFonts w:ascii="Calibri" w:hAnsi="Calibri"/>
                <w:b w:val="0"/>
                <w:i w:val="0"/>
                <w:color w:val="222222"/>
                <w:sz w:val="19"/>
              </w:rPr>
              <w:t>3. 'welfare of dogs and cats' means the physical and mental state of a dog or a cat, which receives appropriate nutrition, is kept in an appropriate environment, is in good health, displays appropriate behaviour, and has an overall a positive mental experience of life;</w:t>
            </w:r>
          </w:p>
          <w:p>
            <w:pPr>
              <w:spacing w:after="0" w:before="20"/>
              <w:ind w:right="80" w:left="80" w:firstLine="0"/>
            </w:pPr>
            <w:r>
              <w:rPr>
                <w:rFonts w:ascii="Calibri" w:hAnsi="Calibri"/>
                <w:b w:val="0"/>
                <w:i w:val="0"/>
                <w:color w:val="222222"/>
                <w:sz w:val="19"/>
              </w:rPr>
              <w:t>4. 'hybrid' means any offspring of the first to the fourth generation following a cross-breeding event between a wild species and the domestic species of dog or cat;</w:t>
            </w:r>
          </w:p>
          <w:p>
            <w:pPr>
              <w:spacing w:after="0" w:before="20"/>
              <w:ind w:right="80" w:left="80" w:firstLine="0"/>
            </w:pPr>
            <w:r>
              <w:rPr>
                <w:rFonts w:ascii="Calibri" w:hAnsi="Calibri"/>
                <w:b w:val="0"/>
                <w:i w:val="0"/>
                <w:color w:val="222222"/>
                <w:sz w:val="19"/>
              </w:rPr>
              <w:t>5. 'breeding' means the activity of keeping dogs or cats in breeding establishments for the purposes of reproduction;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 «Cão», um animal da espécie Canis lupus familiaris;</w:t>
            </w:r>
          </w:p>
          <w:p>
            <w:pPr>
              <w:spacing w:after="0" w:before="20"/>
              <w:ind w:right="80" w:left="80" w:firstLine="0"/>
            </w:pPr>
            <w:r>
              <w:rPr>
                <w:rFonts w:ascii="Calibri" w:hAnsi="Calibri"/>
                <w:b w:val="0"/>
                <w:i/>
                <w:color w:val="222222"/>
                <w:sz w:val="19"/>
              </w:rPr>
              <w:t>2. «Gato», um animal da espécie Felis silvestris catus;</w:t>
            </w:r>
          </w:p>
          <w:p>
            <w:pPr>
              <w:spacing w:after="0" w:before="20"/>
              <w:ind w:right="80" w:left="80" w:firstLine="0"/>
            </w:pPr>
            <w:r>
              <w:rPr>
                <w:rFonts w:ascii="Calibri" w:hAnsi="Calibri"/>
                <w:b w:val="0"/>
                <w:i/>
                <w:color w:val="222222"/>
                <w:sz w:val="19"/>
              </w:rPr>
              <w:t>3. «Bem-estar dos cães e gatos», o estado físico e mental de um cão ou de um gato que recebe nutrição adequada, é mantido num ambiente apropriado, está em bom estado de saúde, exibe comportamento apropriado e tem uma experiência mental geral positiva da vida;</w:t>
            </w:r>
          </w:p>
          <w:p>
            <w:pPr>
              <w:spacing w:after="0" w:before="20"/>
              <w:ind w:right="80" w:left="80" w:firstLine="0"/>
            </w:pPr>
            <w:r>
              <w:rPr>
                <w:rFonts w:ascii="Calibri" w:hAnsi="Calibri"/>
                <w:b w:val="0"/>
                <w:i/>
                <w:color w:val="222222"/>
                <w:sz w:val="19"/>
              </w:rPr>
              <w:t>4. «Híbrido», qualquer descendência da primeira à quarta geração após o cruzamento entre uma espécie selvagem e a espécie doméstica de cão ou gato;</w:t>
            </w:r>
          </w:p>
          <w:p>
            <w:pPr>
              <w:spacing w:after="0" w:before="20"/>
              <w:ind w:right="80" w:left="80" w:firstLine="0"/>
            </w:pPr>
            <w:r>
              <w:rPr>
                <w:rFonts w:ascii="Calibri" w:hAnsi="Calibri"/>
                <w:b w:val="0"/>
                <w:i/>
                <w:color w:val="222222"/>
                <w:sz w:val="19"/>
              </w:rPr>
              <w:t>5. «Criação», a atividade de detenção de cães ou gatos em estabelecimentos de criação para efeitos de reprodução;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conceitos-chave usados ao longo do Regulamento (cão, gato, bem-estar, criação,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20"/>
              <w:ind w:right="80" w:left="80" w:firstLine="0"/>
            </w:pPr>
            <w:r>
              <w:rPr>
                <w:rFonts w:ascii="Calibri" w:hAnsi="Calibri"/>
                <w:b w:val="0"/>
                <w:i/>
                <w:color w:val="222222"/>
                <w:sz w:val="19"/>
              </w:rPr>
              <w:t>2.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20"/>
              <w:ind w:right="80" w:left="360" w:hanging="280"/>
            </w:pPr>
            <w:r>
              <w:rPr>
                <w:rFonts w:ascii="Calibri" w:hAnsi="Calibri"/>
                <w:b w:val="0"/>
                <w:i/>
                <w:color w:val="222222"/>
                <w:sz w:val="19"/>
              </w:rPr>
              <w:t>(a) Os cães e os gatos recebem água e alimentos de qualidade e numa quantidade que assegura a sua boa e adequada nutrição e hidratação;</w:t>
            </w:r>
          </w:p>
          <w:p>
            <w:pPr>
              <w:spacing w:after="0" w:before="2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2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2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20"/>
              <w:ind w:right="80" w:left="360" w:hanging="280"/>
            </w:pPr>
            <w:r>
              <w:rPr>
                <w:rFonts w:ascii="Calibri" w:hAnsi="Calibri"/>
                <w:b w:val="0"/>
                <w:i/>
                <w:color w:val="222222"/>
                <w:sz w:val="19"/>
              </w:rPr>
              <w:t>(e) (e)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e gatos detidos nos estabelecimentos sob a sua responsabilidade e controlo, devendo minimizar quaisquer riscos para o bem-estar desses animais.</w:t>
            </w:r>
          </w:p>
          <w:p>
            <w:pPr>
              <w:spacing w:after="0" w:before="20"/>
              <w:ind w:right="80" w:left="80" w:firstLine="0"/>
            </w:pPr>
            <w:r>
              <w:rPr>
                <w:rFonts w:ascii="Calibri" w:hAnsi="Calibri"/>
                <w:b w:val="0"/>
                <w:i/>
                <w:color w:val="222222"/>
                <w:sz w:val="19"/>
              </w:rPr>
              <w:t>2. No caso das famílias de acolhimento, a responsabilidade incumbe ao operador em cujo nome os cães ou gatos são detidos. Tais operadores não colocam mais do que um total combinado de cinco cães ou gatos ou uma ninhada, com ou sem a mãe, num lar de acolhimento em qualquer momento dado e fornecem à família de acolhimento informações adequadas sobre as obrigações em matéria de bem-estar dos animais, bem como sobre as necessidades individuais dos cães ou gatos, e asseguram que as obrigações relevantes previstas no presente regulamento são cumpridas nos lares de acolhimento.</w:t>
            </w:r>
          </w:p>
          <w:p>
            <w:pPr>
              <w:spacing w:after="0" w:before="20"/>
              <w:ind w:right="80" w:left="80" w:firstLine="0"/>
            </w:pPr>
            <w:r>
              <w:rPr>
                <w:rFonts w:ascii="Calibri" w:hAnsi="Calibri"/>
                <w:b w:val="0"/>
                <w:i/>
                <w:color w:val="222222"/>
                <w:sz w:val="19"/>
              </w:rPr>
              <w:t>O Estado-Membro em que se situa o lar de acolhimento pode autorizar um maior número de cães, gatos ou ninhadas na família de acolhimento, desde que as instalações do lar de acolhimento disponham de espaço suficiente, incluindo espaço exterior, e que o número de cuidadores de animais no lar de acolhimento seja suficiente para garantir o bem-estar dos cães e gatos.</w:t>
            </w:r>
          </w:p>
          <w:p>
            <w:pPr>
              <w:spacing w:after="0" w:before="20"/>
              <w:ind w:right="80" w:left="80" w:firstLine="0"/>
            </w:pPr>
            <w:r>
              <w:rPr>
                <w:rFonts w:ascii="Calibri" w:hAnsi="Calibri"/>
                <w:b w:val="0"/>
                <w:i/>
                <w:color w:val="222222"/>
                <w:sz w:val="19"/>
              </w:rPr>
              <w:t>3. Os operadores não sujeitam qualquer cão ou gato a crueldade, abusos ou maus-tratos, incluindo fazendo-os participar em atividades suscetíveis de resultar em crueldade, abusos ou maus-tratos para os cães ou gatos criados ou detidos pelo operador.</w:t>
            </w:r>
          </w:p>
          <w:p>
            <w:pPr>
              <w:spacing w:after="0" w:before="20"/>
              <w:ind w:right="80" w:left="80" w:firstLine="0"/>
            </w:pPr>
            <w:r>
              <w:rPr>
                <w:rFonts w:ascii="Calibri" w:hAnsi="Calibri"/>
                <w:b w:val="0"/>
                <w:i/>
                <w:color w:val="222222"/>
                <w:sz w:val="19"/>
              </w:rPr>
              <w:t>4. Os operadores não abandonam os cães ou gatos criados ou detidos por eles.</w:t>
            </w:r>
          </w:p>
          <w:p>
            <w:pPr>
              <w:spacing w:after="0" w:before="20"/>
              <w:ind w:right="80" w:left="80" w:firstLine="0"/>
            </w:pPr>
            <w:r>
              <w:rPr>
                <w:rFonts w:ascii="Calibri" w:hAnsi="Calibri"/>
                <w:b w:val="0"/>
                <w:i/>
                <w:color w:val="222222"/>
                <w:sz w:val="19"/>
              </w:rPr>
              <w:t>5. Antes de os operadores cessarem as atividades num estabelecimento, asseguram que os cães ou gatos aí detidos são realojados, seja assumindo eles próprios a propriedade de animal de companhia, seja transferindo a responsabilidade pela propriedade dos cães e gatos para outros operadores ou adquirentes.</w:t>
            </w:r>
          </w:p>
          <w:p>
            <w:pPr>
              <w:spacing w:after="0" w:before="20"/>
              <w:ind w:right="80" w:left="80" w:firstLine="0"/>
            </w:pPr>
            <w:r>
              <w:rPr>
                <w:rFonts w:ascii="Calibri" w:hAnsi="Calibri"/>
                <w:b w:val="0"/>
                <w:i/>
                <w:color w:val="222222"/>
                <w:sz w:val="19"/>
              </w:rPr>
              <w:t>6. Os operadores asseguram que os cães e gatos são manuseados por um número suficiente de cuidadores de animais para satisfazer as necessidades de bem-estar dos cães ou gatos detidos nos seus estabelecimentos, e que esses cuidadores possuem as competências exigidas no artigo 12.º.</w:t>
            </w:r>
          </w:p>
          <w:p>
            <w:pPr>
              <w:spacing w:after="0" w:before="20"/>
              <w:ind w:right="80" w:left="80" w:firstLine="0"/>
            </w:pPr>
            <w:r>
              <w:rPr>
                <w:rFonts w:ascii="Calibri" w:hAnsi="Calibri"/>
                <w:b w:val="0"/>
                <w:i/>
                <w:color w:val="222222"/>
                <w:sz w:val="19"/>
              </w:rPr>
              <w:t>7. Os operadores asseguram o bem-estar dos cães ou gatos pelos quais são responsáveis, monitorizando indicadores baseados nos animais relativos ao comportamento e à aparência física, e adotando ações com base nos resultados desse monitoramento.</w:t>
            </w:r>
          </w:p>
          <w:p>
            <w:pPr>
              <w:spacing w:after="0" w:before="20"/>
              <w:ind w:right="80" w:left="80" w:firstLine="0"/>
            </w:pPr>
            <w:r>
              <w:rPr>
                <w:rFonts w:ascii="Calibri" w:hAnsi="Calibri"/>
                <w:b w:val="0"/>
                <w:i/>
                <w:color w:val="222222"/>
                <w:sz w:val="19"/>
              </w:rPr>
              <w:t>8. A Comissão fica habilitada a adotar atos delegados, nos termos do artigo 28.º, que complementem o presente regulamento, estabelecendo os indicadores baseados nos animais relativos ao comportamento e à aparência física que os operadores devem utilizar para efeitos de monitorização nos termos do n.º 7 do presente artigo, bem como os métodos pelos quais os operadores devem medi-los.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20"/>
              <w:ind w:right="80" w:left="80" w:firstLine="0"/>
            </w:pPr>
            <w:r>
              <w:rPr>
                <w:rFonts w:ascii="Calibri" w:hAnsi="Calibri"/>
                <w:b w:val="0"/>
                <w:i/>
                <w:color w:val="222222"/>
                <w:sz w:val="19"/>
              </w:rPr>
              <w:t>2. Os operadores de estabelecimentos de criação não devem utilizar para reprodução cães ou gatos que apresentem características de conformação excessivas que acarretem um elevado risco de efeitos prejudiciais para o bem-estar desses animais ou das suas crias. Antes da seleção para reprodução de um animal potencialmente afetado por características de conformação excessivas, o operador deve consultar um médico veterinário ou uma pessoa qualificada independente sob responsabilidade veterinária. O médico veterinário ou a pessoa qualificada independente devem avaliar se o animal tem uma característica de conformação excessiva.</w:t>
            </w:r>
          </w:p>
          <w:p>
            <w:pPr>
              <w:spacing w:after="0" w:before="20"/>
              <w:ind w:right="80" w:left="80" w:firstLine="0"/>
            </w:pPr>
            <w:r>
              <w:rPr>
                <w:rFonts w:ascii="Calibri" w:hAnsi="Calibri"/>
                <w:b w:val="0"/>
                <w:i/>
                <w:color w:val="222222"/>
                <w:sz w:val="19"/>
              </w:rPr>
              <w:t>3. A Comissão tem competência para adotar atos delegados em conformidade com o artigo 28.º que complementem este Regulamento, definindo:</w:t>
            </w:r>
          </w:p>
          <w:p>
            <w:pPr>
              <w:spacing w:after="0" w:before="20"/>
              <w:ind w:right="80" w:left="360" w:hanging="280"/>
            </w:pPr>
            <w:r>
              <w:rPr>
                <w:rFonts w:ascii="Calibri" w:hAnsi="Calibri"/>
                <w:b w:val="0"/>
                <w:i/>
                <w:color w:val="222222"/>
                <w:sz w:val="19"/>
              </w:rPr>
              <w:t>(a) características dos genótipos a que se refere o n.º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características de conformação excessivas a que se refere o n.º 2 do presente artigo que devem ser excluídos da reprodução, os métodos para a sua avaliação e requisitos de manutenção de registos.</w:t>
            </w:r>
          </w:p>
          <w:p>
            <w:pPr>
              <w:spacing w:after="0" w:before="20"/>
              <w:ind w:right="80" w:left="80" w:firstLine="0"/>
            </w:pPr>
            <w:r>
              <w:rPr>
                <w:rFonts w:ascii="Calibri" w:hAnsi="Calibri"/>
                <w:b w:val="0"/>
                <w:i/>
                <w:color w:val="222222"/>
                <w:sz w:val="19"/>
              </w:rPr>
              <w:t>4. Ao adotar esses atos delegados, a Comissão tem em conta os pareceres científicos da Autoridade Europeia para a Segurança dos Alimentos (EFSA), bem como os impactos sociais e económicos desses atos delegados.</w:t>
            </w:r>
          </w:p>
          <w:p>
            <w:pPr>
              <w:spacing w:after="0" w:before="20"/>
              <w:ind w:right="80" w:left="80" w:firstLine="0"/>
            </w:pPr>
            <w:r>
              <w:rPr>
                <w:rFonts w:ascii="Calibri" w:hAnsi="Calibri"/>
                <w:b w:val="0"/>
                <w:i/>
                <w:color w:val="222222"/>
                <w:sz w:val="19"/>
              </w:rPr>
              <w:t>5. Os atos delegados relativos aos traços conformacionais excessivos devem ser adotados até 1 de julho de 2030. Os atos delegados relativos aos genótipos devem ser adotados até 1 de julho de 2036.</w:t>
            </w:r>
          </w:p>
          <w:p>
            <w:pPr>
              <w:spacing w:after="0" w:before="20"/>
              <w:ind w:right="80" w:left="80" w:firstLine="0"/>
            </w:pPr>
            <w:r>
              <w:rPr>
                <w:rFonts w:ascii="Calibri" w:hAnsi="Calibri"/>
                <w:b w:val="0"/>
                <w:i/>
                <w:color w:val="222222"/>
                <w:sz w:val="19"/>
              </w:rPr>
              <w:t>6.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p>
            <w:pPr>
              <w:spacing w:after="0" w:before="140"/>
              <w:ind w:right="80" w:left="80" w:firstLine="0"/>
            </w:pPr>
            <w:r>
              <w:rPr>
                <w:rFonts w:ascii="Calibri" w:hAnsi="Calibri"/>
                <w:b w:val="0"/>
                <w:i/>
                <w:color w:val="222222"/>
                <w:sz w:val="19"/>
              </w:rPr>
              <w:t>@regulamento — Tradução PT-PT · ANEXO I, Ponto 3 do Regulamento 2023/0447</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nado-mortos,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notificar as autoridades competentes da sua atividade, fornecendo pelo menos as seguintes informações para cada um dos seus estabelecimentos:</w:t>
            </w:r>
          </w:p>
          <w:p>
            <w:pPr>
              <w:spacing w:after="0" w:before="20"/>
              <w:ind w:right="80" w:left="360" w:hanging="280"/>
            </w:pPr>
            <w:r>
              <w:rPr>
                <w:rFonts w:ascii="Calibri" w:hAnsi="Calibri"/>
                <w:b w:val="0"/>
                <w:i/>
                <w:color w:val="222222"/>
                <w:sz w:val="19"/>
              </w:rPr>
              <w:t>(a) o nome, morada e contactos do operador;</w:t>
            </w:r>
          </w:p>
          <w:p>
            <w:pPr>
              <w:spacing w:after="0" w:before="20"/>
              <w:ind w:right="80" w:left="360" w:hanging="280"/>
            </w:pPr>
            <w:r>
              <w:rPr>
                <w:rFonts w:ascii="Calibri" w:hAnsi="Calibri"/>
                <w:b w:val="0"/>
                <w:i/>
                <w:color w:val="222222"/>
                <w:sz w:val="19"/>
              </w:rPr>
              <w:t>(b) a localização do estabelecimento;</w:t>
            </w:r>
          </w:p>
          <w:p>
            <w:pPr>
              <w:spacing w:after="0" w:before="20"/>
              <w:ind w:right="80" w:left="360" w:hanging="280"/>
            </w:pPr>
            <w:r>
              <w:rPr>
                <w:rFonts w:ascii="Calibri" w:hAnsi="Calibri"/>
                <w:b w:val="0"/>
                <w:i/>
                <w:color w:val="222222"/>
                <w:sz w:val="19"/>
              </w:rPr>
              <w:t>(c) o tipo de estabelecimento: estabelecimento de criação, estabelecimento de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 no estabelecimento;</w:t>
            </w:r>
          </w:p>
          <w:p>
            <w:pPr>
              <w:spacing w:after="0" w:before="20"/>
              <w:ind w:right="80" w:left="360" w:hanging="280"/>
            </w:pPr>
            <w:r>
              <w:rPr>
                <w:rFonts w:ascii="Calibri" w:hAnsi="Calibri"/>
                <w:b w:val="0"/>
                <w:i/>
                <w:color w:val="222222"/>
                <w:sz w:val="19"/>
              </w:rPr>
              <w:t>(e) a capacidade do estabelecimento, expressa no número máximo de cães e gatos que podem ser alojados no estabelecimento;</w:t>
            </w:r>
          </w:p>
          <w:p>
            <w:pPr>
              <w:spacing w:after="0" w:before="20"/>
              <w:ind w:right="80" w:left="360" w:hanging="280"/>
            </w:pPr>
            <w:r>
              <w:rPr>
                <w:rFonts w:ascii="Calibri" w:hAnsi="Calibri"/>
                <w:b w:val="0"/>
                <w:i/>
                <w:color w:val="222222"/>
                <w:sz w:val="19"/>
              </w:rPr>
              <w:t>(f) para os estabelecimentos de criação, o número estimado de ninhadas a colocar no mercado por ano.</w:t>
            </w:r>
          </w:p>
          <w:p>
            <w:pPr>
              <w:spacing w:after="0" w:before="20"/>
              <w:ind w:right="80" w:left="80" w:firstLine="0"/>
            </w:pPr>
            <w:r>
              <w:rPr>
                <w:rFonts w:ascii="Calibri" w:hAnsi="Calibri"/>
                <w:b w:val="0"/>
                <w:i/>
                <w:color w:val="222222"/>
                <w:sz w:val="19"/>
              </w:rPr>
              <w:t>2. Os operadores devem notificar a autoridade competente de:</w:t>
            </w:r>
          </w:p>
          <w:p>
            <w:pPr>
              <w:spacing w:after="0" w:before="20"/>
              <w:ind w:right="80" w:left="360" w:hanging="280"/>
            </w:pPr>
            <w:r>
              <w:rPr>
                <w:rFonts w:ascii="Calibri" w:hAnsi="Calibri"/>
                <w:b w:val="0"/>
                <w:i/>
                <w:color w:val="222222"/>
                <w:sz w:val="19"/>
              </w:rPr>
              <w:t>(a) quaisquer alterações relativas às informações referidas no n.º 1;</w:t>
            </w:r>
          </w:p>
          <w:p>
            <w:pPr>
              <w:spacing w:after="0" w:before="20"/>
              <w:ind w:right="80" w:left="360" w:hanging="280"/>
            </w:pPr>
            <w:r>
              <w:rPr>
                <w:rFonts w:ascii="Calibri" w:hAnsi="Calibri"/>
                <w:b w:val="0"/>
                <w:i/>
                <w:color w:val="222222"/>
                <w:sz w:val="19"/>
              </w:rPr>
              <w:t>(b) quando aplicável,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fornecidas em conformidade com o artigo 84.º do Regulamento (UE) 2016/429. Os operadores não são obrigados a notificar novamente as informações já apresentadas em conformidade com o artigo 84.º do Regulamento (UE) 2016/429.</w:t>
            </w:r>
          </w:p>
          <w:p>
            <w:pPr>
              <w:spacing w:after="0" w:before="20"/>
              <w:ind w:right="80" w:left="80" w:firstLine="0"/>
            </w:pPr>
            <w:r>
              <w:rPr>
                <w:rFonts w:ascii="Calibri" w:hAnsi="Calibri"/>
                <w:b w:val="0"/>
                <w:i/>
                <w:color w:val="222222"/>
                <w:sz w:val="19"/>
              </w:rPr>
              <w:t>4.</w:t>
              <w:tab/>
              <w:t>A autoridade competente deve manter um registo dos estabelecimentos. A autoridade competente pode utilizar para esse efeito o registo previsto no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20"/>
              <w:ind w:right="80" w:left="80" w:firstLine="0"/>
            </w:pPr>
            <w:r>
              <w:rPr>
                <w:rFonts w:ascii="Calibri" w:hAnsi="Calibri"/>
                <w:b w:val="0"/>
                <w:i/>
                <w:color w:val="222222"/>
                <w:sz w:val="19"/>
              </w:rPr>
              <w:t>2. 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20"/>
              <w:ind w:right="80" w:left="80" w:firstLine="0"/>
            </w:pPr>
            <w:r>
              <w:rPr>
                <w:rFonts w:ascii="Calibri" w:hAnsi="Calibri"/>
                <w:b w:val="0"/>
                <w:i/>
                <w:color w:val="222222"/>
                <w:sz w:val="19"/>
              </w:rPr>
              <w:t>3. A autoridade competente deve manter uma lista disponível ao público incluindo as seguintes informações para cada estabelecimento aprovado:</w:t>
            </w:r>
          </w:p>
          <w:p>
            <w:pPr>
              <w:spacing w:after="0" w:before="20"/>
              <w:ind w:right="80" w:left="360" w:hanging="280"/>
            </w:pPr>
            <w:r>
              <w:rPr>
                <w:rFonts w:ascii="Calibri" w:hAnsi="Calibri"/>
                <w:b w:val="0"/>
                <w:i/>
                <w:color w:val="222222"/>
                <w:sz w:val="19"/>
              </w:rPr>
              <w:t>(a) o nome, dados de contacto e, se disponível, o URL do site do estabelecimento;</w:t>
            </w:r>
          </w:p>
          <w:p>
            <w:pPr>
              <w:spacing w:after="0" w:before="20"/>
              <w:ind w:right="80" w:left="360" w:hanging="280"/>
            </w:pPr>
            <w:r>
              <w:rPr>
                <w:rFonts w:ascii="Calibri" w:hAnsi="Calibri"/>
                <w:b w:val="0"/>
                <w:i/>
                <w:color w:val="222222"/>
                <w:sz w:val="19"/>
              </w:rPr>
              <w:t>(b) a morada do estabelecimento;</w:t>
            </w:r>
          </w:p>
          <w:p>
            <w:pPr>
              <w:spacing w:after="0" w:before="20"/>
              <w:ind w:right="80" w:left="360" w:hanging="280"/>
            </w:pPr>
            <w:r>
              <w:rPr>
                <w:rFonts w:ascii="Calibri" w:hAnsi="Calibri"/>
                <w:b w:val="0"/>
                <w:i/>
                <w:color w:val="222222"/>
                <w:sz w:val="19"/>
              </w:rPr>
              <w:t>(c) o nome do operador;</w:t>
            </w:r>
          </w:p>
          <w:p>
            <w:pPr>
              <w:spacing w:after="0" w:before="20"/>
              <w:ind w:right="80" w:left="360" w:hanging="280"/>
            </w:pPr>
            <w:r>
              <w:rPr>
                <w:rFonts w:ascii="Calibri" w:hAnsi="Calibri"/>
                <w:b w:val="0"/>
                <w:i/>
                <w:color w:val="222222"/>
                <w:sz w:val="19"/>
              </w:rPr>
              <w:t>(d) a(s) espécie(s) e, se relevante, a(s) raça(s) relacionada(s) com as atividades do estabelecimento aprovadas;</w:t>
            </w:r>
          </w:p>
          <w:p>
            <w:pPr>
              <w:spacing w:after="0" w:before="20"/>
              <w:ind w:right="80" w:left="360" w:hanging="280"/>
            </w:pPr>
            <w:r>
              <w:rPr>
                <w:rFonts w:ascii="Calibri" w:hAnsi="Calibri"/>
                <w:b w:val="0"/>
                <w:i/>
                <w:color w:val="222222"/>
                <w:sz w:val="19"/>
              </w:rPr>
              <w:t>(e) 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e alojamento, bem como informação sobre as suas necessidades comportamentais e historial de saúde.</w:t>
            </w:r>
          </w:p>
          <w:p>
            <w:pPr>
              <w:spacing w:after="0" w:before="20"/>
              <w:ind w:right="80" w:left="80" w:firstLine="0"/>
            </w:pPr>
            <w:r>
              <w:rPr>
                <w:rFonts w:ascii="Calibri" w:hAnsi="Calibri"/>
                <w:b w:val="0"/>
                <w:i/>
                <w:color w:val="222222"/>
                <w:sz w:val="19"/>
              </w:rPr>
              <w:t>2. A informação escrita sobre o historial de saúde do cão ou gato referida no n.º 1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20"/>
              <w:ind w:right="80" w:left="80" w:firstLine="0"/>
            </w:pPr>
            <w:r>
              <w:rPr>
                <w:rFonts w:ascii="Calibri" w:hAnsi="Calibri"/>
                <w:b w:val="0"/>
                <w:i/>
                <w:color w:val="222222"/>
                <w:sz w:val="19"/>
              </w:rPr>
              <w:t>Caso a informação sobre o historial de saúde do cão ou gato esteja prevista num documento exigido nos termos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dos voluntários em abrigos e dos estagiários que atuem sob a responsabilidade de um cuidador de animais competente, devem possuir as seguintes competências no que diz respeito aos cães e gatos que manuseiam:</w:t>
            </w:r>
          </w:p>
          <w:p>
            <w:pPr>
              <w:spacing w:after="0" w:before="20"/>
              <w:ind w:right="80" w:left="360" w:hanging="280"/>
            </w:pPr>
            <w:r>
              <w:rPr>
                <w:rFonts w:ascii="Calibri" w:hAnsi="Calibri"/>
                <w:b w:val="0"/>
                <w:i/>
                <w:color w:val="222222"/>
                <w:sz w:val="19"/>
              </w:rPr>
              <w:t>(a) compreensão do comportamento biológico dos animais e das respetivas necessidades fisiológicas e etológicas;​</w:t>
            </w:r>
          </w:p>
          <w:p>
            <w:pPr>
              <w:spacing w:after="0" w:before="20"/>
              <w:ind w:right="80" w:left="360" w:hanging="280"/>
            </w:pPr>
            <w:r>
              <w:rPr>
                <w:rFonts w:ascii="Calibri" w:hAnsi="Calibri"/>
                <w:b w:val="0"/>
                <w:i/>
                <w:color w:val="222222"/>
                <w:sz w:val="19"/>
              </w:rPr>
              <w:t>(b) capacidade para reconhecer as expressões dos animais, incluindo qualquer sinal de sofrimento, e para identificar e adotar as medidas de atenuação adequadas nesses casos;</w:t>
            </w:r>
          </w:p>
          <w:p>
            <w:pPr>
              <w:spacing w:after="0" w:before="20"/>
              <w:ind w:right="80" w:left="360" w:hanging="280"/>
            </w:pPr>
            <w:r>
              <w:rPr>
                <w:rFonts w:ascii="Calibri" w:hAnsi="Calibri"/>
                <w:b w:val="0"/>
                <w:i/>
                <w:color w:val="222222"/>
                <w:sz w:val="19"/>
              </w:rPr>
              <w:t>(c) capacidade para aplicar boas práticas de gestão animal, incluindo o condicionamento operante e o reforço positivo, para utilizar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 conhecimento das obrigações que lhes incumbem por força do presente regulamento.​</w:t>
            </w:r>
          </w:p>
          <w:p>
            <w:pPr>
              <w:spacing w:after="0" w:before="20"/>
              <w:ind w:right="80" w:left="80" w:firstLine="0"/>
            </w:pPr>
            <w:r>
              <w:rPr>
                <w:rFonts w:ascii="Calibri" w:hAnsi="Calibri"/>
                <w:b w:val="0"/>
                <w:i/>
                <w:color w:val="222222"/>
                <w:sz w:val="19"/>
              </w:rPr>
              <w:t>2. As competências referidas no n.º 1 podem ser adquiridas através de ensino, formação ou experiência profissional. Só o ensino, a formação ou a experiência profissional documentada são tidos em conta para determinar se um cuidador de animais possui as competências referidas no n.º 1.​</w:t>
            </w:r>
          </w:p>
          <w:p>
            <w:pPr>
              <w:spacing w:after="0" w:before="20"/>
              <w:ind w:right="80" w:left="80" w:firstLine="0"/>
            </w:pPr>
            <w:r>
              <w:rPr>
                <w:rFonts w:ascii="Calibri" w:hAnsi="Calibri"/>
                <w:b w:val="0"/>
                <w:i/>
                <w:color w:val="222222"/>
                <w:sz w:val="19"/>
              </w:rPr>
              <w:t>3. Os operadores asseguram que, em cada estabelecimento, pelo menos um cuidador de animais, que não seja voluntário nem estagiário, tenha concluído os cursos de formação a que se refere o artigo 22.º. Os operadores asseguram que esse cuidador de animais transmita os seus conhecimentos aos restantes cuidadores de animais do estabelecimento.</w:t>
            </w:r>
          </w:p>
          <w:p>
            <w:pPr>
              <w:spacing w:after="0" w:before="20"/>
              <w:ind w:right="80" w:left="80" w:firstLine="0"/>
            </w:pPr>
            <w:r>
              <w:rPr>
                <w:rFonts w:ascii="Calibri" w:hAnsi="Calibri"/>
                <w:b w:val="0"/>
                <w:i/>
                <w:color w:val="222222"/>
                <w:sz w:val="19"/>
              </w:rPr>
              <w:t>4. A Comissão adota atos de execução que estabelecem requisitos mínimos relativos ao ensino formal, à formação ou à experiência profissional referidos no n.º 2 do presente artigo, necessários para determinar se um cuidador de animais possui as competências referidas no n.º 1, bem como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referidos no n.º 3 é adotado até … [3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w:t>
            </w:r>
          </w:p>
          <w:p>
            <w:pPr>
              <w:spacing w:after="0" w:before="2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2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20"/>
              <w:ind w:right="80" w:left="80" w:firstLine="0"/>
            </w:pPr>
            <w:r>
              <w:rPr>
                <w:rFonts w:ascii="Calibri" w:hAnsi="Calibri"/>
                <w:b w:val="0"/>
                <w:i/>
                <w:color w:val="222222"/>
                <w:sz w:val="19"/>
              </w:rPr>
              <w:t>2. Dentro de 24 meses a partir da data de entrada em vigor do presente Regulamento, a Comissão deve adotar atos delegados em conformidade com o artigo 28.º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20"/>
              <w:ind w:right="80" w:left="80" w:firstLine="0"/>
            </w:pPr>
            <w:r>
              <w:rPr>
                <w:rFonts w:ascii="Calibri" w:hAnsi="Calibri"/>
                <w:b w:val="0"/>
                <w:i/>
                <w:color w:val="222222"/>
                <w:sz w:val="19"/>
              </w:rPr>
              <w:t>2. Os operadores devem assegurar que os cães ou gatos sejam alimentados e hidratados de forma adequada, fornecendo-lhes:</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Alimentos para animais em quantidade e qualidade suficientes para satisfazer as necessidades fisiológicas, nutricionais e metabólicas dos cães e gatos, no âmbito de uma dieta adaptada à idade, raça, categoria, nível de atividade e estado reprodutivo dos cães ou gatos, com o objetivo global de alcançar manter um bom estado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em bom funcionamento, em particular durante a fase de desmame.</w:t>
            </w:r>
          </w:p>
          <w:p>
            <w:pPr>
              <w:spacing w:after="0" w:before="20"/>
              <w:ind w:right="80" w:left="80" w:firstLine="0"/>
            </w:pPr>
            <w:r>
              <w:rPr>
                <w:rFonts w:ascii="Calibri" w:hAnsi="Calibri"/>
                <w:b w:val="0"/>
                <w:i/>
                <w:color w:val="222222"/>
                <w:sz w:val="19"/>
              </w:rPr>
              <w:t>3. Os operadores devem assegurar que as instalações de alimentação e abeberamento sejam mantidas limpas e sejam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20"/>
              <w:ind w:right="80" w:left="80" w:firstLine="0"/>
            </w:pPr>
            <w:r>
              <w:rPr>
                <w:rFonts w:ascii="Calibri" w:hAnsi="Calibri"/>
                <w:b w:val="0"/>
                <w:i/>
                <w:color w:val="222222"/>
                <w:sz w:val="19"/>
              </w:rPr>
              <w:t>4.</w:t>
              <w:tab/>
              <w:t>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2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detidos e o equipamento neles utilizado sejam adequados aos tipos e ao número de cães ou gatos, e permitam o acesso necessário e a inspeção exaustiva de todos os cães ou gatos;​</w:t>
            </w:r>
          </w:p>
          <w:p>
            <w:pPr>
              <w:spacing w:after="0" w:before="20"/>
              <w:ind w:right="80" w:left="360" w:hanging="280"/>
            </w:pPr>
            <w:r>
              <w:rPr>
                <w:rFonts w:ascii="Calibri" w:hAnsi="Calibri"/>
                <w:b w:val="0"/>
                <w:i/>
                <w:color w:val="222222"/>
                <w:sz w:val="19"/>
              </w:rPr>
              <w:t>b) todos os componentes do edifício do estabelecimento, incluindo o pavimento e o telhado, e as divisões de espaço, bem como o equipamento utilizado para cães ou gatos, sejam construídos e mantidos adequadamente, de modo a garantir que não representem quaisquer riscos para o bem-estar dos cães ou gatos;​</w:t>
            </w:r>
          </w:p>
          <w:p>
            <w:pPr>
              <w:spacing w:after="0" w:before="20"/>
              <w:ind w:right="80" w:left="360" w:hanging="280"/>
            </w:pPr>
            <w:r>
              <w:rPr>
                <w:rFonts w:ascii="Calibri" w:hAnsi="Calibri"/>
                <w:b w:val="0"/>
                <w:i/>
                <w:color w:val="222222"/>
                <w:sz w:val="19"/>
              </w:rPr>
              <w:t>c) todos os componentes do edifício do estabelecimento, incluindo o pavimento e as divisões de espaço, bem como o equipamento utilizado para cães ou gatos, sejam mantidos limpos, de modo a garantir que não representem quaisquer riscos para o bem-estar dos cães ou gatos;​</w:t>
            </w:r>
          </w:p>
          <w:p>
            <w:pPr>
              <w:spacing w:after="0" w:before="20"/>
              <w:ind w:right="80" w:left="360" w:hanging="280"/>
            </w:pPr>
            <w:r>
              <w:rPr>
                <w:rFonts w:ascii="Calibri" w:hAnsi="Calibri"/>
                <w:b w:val="0"/>
                <w:i/>
                <w:color w:val="222222"/>
                <w:sz w:val="19"/>
              </w:rPr>
              <w:t>d) nos estabelecimentos de criação e venda onde os cães ou gatos são detidos em espaços interiores, os níveis de poeira, a temperatura, a humidade relativa do ar e as concentrações de gases não sejam prejudiciais para os cães ou gatos e a ventilação seja suficiente para evitar o sobreaquecimento;​</w:t>
            </w:r>
          </w:p>
          <w:p>
            <w:pPr>
              <w:spacing w:after="0" w:before="20"/>
              <w:ind w:right="80" w:left="360" w:hanging="280"/>
            </w:pPr>
            <w:r>
              <w:rPr>
                <w:rFonts w:ascii="Calibri" w:hAnsi="Calibri"/>
                <w:b w:val="0"/>
                <w:i/>
                <w:color w:val="222222"/>
                <w:sz w:val="19"/>
              </w:rPr>
              <w:t>e) os cães ou gatos disponham de espaço suficiente para circular livremente e exprimir comportamentos específicos da espécie de acordo com as suas necessidades, com a possibilidade de se retirarem e descansarem;​</w:t>
            </w:r>
          </w:p>
          <w:p>
            <w:pPr>
              <w:spacing w:after="0" w:before="20"/>
              <w:ind w:right="80" w:left="360" w:hanging="280"/>
            </w:pPr>
            <w:r>
              <w:rPr>
                <w:rFonts w:ascii="Calibri" w:hAnsi="Calibri"/>
                <w:b w:val="0"/>
                <w:i/>
                <w:color w:val="222222"/>
                <w:sz w:val="19"/>
              </w:rPr>
              <w:t>f) os cães ou gatos disponham de locais de repouso limpos, confortáveis e secos, suficientemente amplos e numerosos para garantir que todos eles possam deitar-se e descansar em posição natural ao mesmo tempo;​</w:t>
            </w:r>
          </w:p>
          <w:p>
            <w:pPr>
              <w:spacing w:after="0" w:before="20"/>
              <w:ind w:right="80" w:left="360" w:hanging="280"/>
            </w:pPr>
            <w:r>
              <w:rPr>
                <w:rFonts w:ascii="Calibri" w:hAnsi="Calibri"/>
                <w:b w:val="0"/>
                <w:i/>
                <w:color w:val="222222"/>
                <w:sz w:val="19"/>
              </w:rPr>
              <w:t>g) existam estruturas e medidas adequadas para os cães ou gatos detidos ao ar livre, de modo a protegê-los de condições climáticas adversas, incluindo para prevenir stress térmico, queimaduras solares e queimaduras pelo frio.</w:t>
            </w:r>
          </w:p>
          <w:p>
            <w:pPr>
              <w:spacing w:after="0" w:before="20"/>
              <w:ind w:right="80" w:left="80" w:firstLine="0"/>
            </w:pPr>
            <w:r>
              <w:rPr>
                <w:rFonts w:ascii="Calibri" w:hAnsi="Calibri"/>
                <w:b w:val="0"/>
                <w:i/>
                <w:color w:val="222222"/>
                <w:sz w:val="19"/>
              </w:rPr>
              <w:t>Os operadores não devem manter cães ou gatos em contentores.</w:t>
            </w:r>
          </w:p>
          <w:p>
            <w:pPr>
              <w:spacing w:after="0" w:before="20"/>
              <w:ind w:right="80" w:left="80" w:firstLine="0"/>
            </w:pPr>
            <w:r>
              <w:rPr>
                <w:rFonts w:ascii="Calibri" w:hAnsi="Calibri"/>
                <w:b w:val="0"/>
                <w:i/>
                <w:color w:val="222222"/>
                <w:sz w:val="19"/>
              </w:rPr>
              <w:t>3. Contudo, contentores podem ser utilizados para o transporte, o isolamento de curto prazo de cães ou gatos individuais e durante a participação em espetáculos, exposições e concursos, para cachorros ou gatinhos com capacidade de termorregulação reduzida ou cachorros ou gatinhos acompanhados das respetivas mães, desde que seja minimizado o stress e evitado o sofrimento e os cães e gatos possam estar de pé e deitar-se numa posição natural.</w:t>
            </w:r>
          </w:p>
          <w:p>
            <w:pPr>
              <w:spacing w:after="0" w:before="2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só pode desviar-se destes requisitos com base no parecer escrito de um veterinário.</w:t>
            </w:r>
          </w:p>
          <w:p>
            <w:pPr>
              <w:spacing w:after="0" w:before="20"/>
              <w:ind w:right="80" w:left="80" w:firstLine="0"/>
            </w:pPr>
            <w:r>
              <w:rPr>
                <w:rFonts w:ascii="Calibri" w:hAnsi="Calibri"/>
                <w:b w:val="0"/>
                <w:i/>
                <w:color w:val="222222"/>
                <w:sz w:val="19"/>
              </w:rPr>
              <w:t>5. Quando gatos são mantidos em gatis, os operadores devem desenhar e construir compartimentos individuais para permitir aos gatos mover-se livremente e expressar o seu comportamento natural.</w:t>
            </w:r>
          </w:p>
          <w:p>
            <w:pPr>
              <w:spacing w:after="0" w:before="20"/>
              <w:ind w:right="80" w:left="80" w:firstLine="0"/>
            </w:pPr>
            <w:r>
              <w:rPr>
                <w:rFonts w:ascii="Calibri" w:hAnsi="Calibri"/>
                <w:b w:val="0"/>
                <w:i/>
                <w:color w:val="222222"/>
                <w:sz w:val="19"/>
              </w:rPr>
              <w:t>6. Os operadores dos estabelecimentos de criação e venda devem garantir que, nas áreas interiores onde os cães e gatos são detidos, seja mantida uma zona termicamente neutra adequada que tenha em conta o tipo de pelagem, a idade, o tamanho, a raça e a saúde deles.</w:t>
            </w:r>
          </w:p>
          <w:p>
            <w:pPr>
              <w:spacing w:after="0" w:before="20"/>
              <w:ind w:right="80" w:left="80" w:firstLine="0"/>
            </w:pPr>
            <w:r>
              <w:rPr>
                <w:rFonts w:ascii="Calibri" w:hAnsi="Calibri"/>
                <w:b w:val="0"/>
                <w:i/>
                <w:color w:val="222222"/>
                <w:sz w:val="19"/>
              </w:rPr>
              <w:t>7. Os operadores dos estabelecimentos de criação e venda devem, quando necessário, utilizar sistemas de aquecimento ou arrefecimento nos recintos interiores dos seus estabelecimentos para manter uma boa qualidade do ar, uma temperatura adequada e eliminar a humidade excessiva.</w:t>
            </w:r>
          </w:p>
          <w:p>
            <w:pPr>
              <w:spacing w:after="0" w:before="20"/>
              <w:ind w:right="80" w:left="80" w:firstLine="0"/>
            </w:pPr>
            <w:r>
              <w:rPr>
                <w:rFonts w:ascii="Calibri" w:hAnsi="Calibri"/>
                <w:b w:val="0"/>
                <w:i/>
                <w:color w:val="222222"/>
                <w:sz w:val="19"/>
              </w:rPr>
              <w:t>8. Os operadores devem garantir que os cães ou gatos sejam expostos à luz e possam permanecer no escuro durante períodos suficientes e ininterruptos, a fim de manter um ritmo circadiano normal.</w:t>
            </w:r>
          </w:p>
          <w:p>
            <w:pPr>
              <w:spacing w:after="0" w:before="2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20"/>
              <w:ind w:right="80" w:left="80" w:firstLine="0"/>
            </w:pPr>
            <w:r>
              <w:rPr>
                <w:rFonts w:ascii="Calibri" w:hAnsi="Calibri"/>
                <w:b w:val="0"/>
                <w:i/>
                <w:color w:val="222222"/>
                <w:sz w:val="19"/>
              </w:rPr>
              <w:t>9. Os n.ºs 2 (a), (b), (c), (f) e (g), 6, 7 e 8 não se aplicam nem aos cães de guarda de gado, nem aos cães de pastoreio, durante os períodos em que tais cães são utilizados para guarda ou pastoreio no contexto da transumância sazonal a pé. A alínea (f) do ponto 2 não se aplica aos cães de guarda de gado durante os períodos em que tais cães são utilizados para fins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w:t>
            </w:r>
          </w:p>
          <w:p>
            <w:pPr>
              <w:spacing w:after="0" w:before="2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2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2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80" w:firstLine="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Os operadores de estabelecimentos de criação devem assegurar que:</w:t>
            </w:r>
          </w:p>
          <w:p>
            <w:pPr>
              <w:spacing w:after="0" w:before="2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se reproduzem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As gravidezes das cadelas e gatas que resultem numa ninhada respeitem uma frequência máxima fixada no ponto 3 do Anexo I;</w:t>
            </w:r>
          </w:p>
          <w:p>
            <w:pPr>
              <w:spacing w:after="0" w:before="20"/>
              <w:ind w:right="80" w:left="360" w:hanging="280"/>
            </w:pPr>
            <w:r>
              <w:rPr>
                <w:rFonts w:ascii="Calibri" w:hAnsi="Calibri"/>
                <w:b w:val="0"/>
                <w:i/>
                <w:color w:val="222222"/>
                <w:sz w:val="19"/>
              </w:rPr>
              <w:t>(d)  as gatas em lactação não sejam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20"/>
              <w:ind w:right="80" w:left="80" w:firstLine="0"/>
            </w:pPr>
            <w:r>
              <w:rPr>
                <w:rFonts w:ascii="Calibri" w:hAnsi="Calibri"/>
                <w:b w:val="0"/>
                <w:i/>
                <w:color w:val="222222"/>
                <w:sz w:val="19"/>
              </w:rPr>
              <w:t>2. Os operadores não devem manter cães ou gatos em áreas que restringem os seus movimentos naturais, exceto no caso do artigo 15.º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20"/>
              <w:ind w:right="80" w:left="80" w:firstLine="0"/>
            </w:pPr>
            <w:r>
              <w:rPr>
                <w:rFonts w:ascii="Calibri" w:hAnsi="Calibri"/>
                <w:b w:val="0"/>
                <w:i/>
                <w:color w:val="222222"/>
                <w:sz w:val="19"/>
              </w:rPr>
              <w:t>3. O acorrentamento por mais de 1 hora é proibido, exceto durante a duração de um tratamento médico ou participação em espetáculos, exposições e competições de cães e gatos.</w:t>
            </w:r>
          </w:p>
          <w:p>
            <w:pPr>
              <w:spacing w:after="0" w:before="20"/>
              <w:ind w:right="80" w:left="80" w:firstLine="0"/>
            </w:pPr>
            <w:r>
              <w:rPr>
                <w:rFonts w:ascii="Calibri" w:hAnsi="Calibri"/>
                <w:b w:val="0"/>
                <w:i/>
                <w:color w:val="222222"/>
                <w:sz w:val="19"/>
              </w:rPr>
              <w:t>4. Os Estados-Membros podem conceder isenções ao disposto no n.º 3 para os cães destinados a ser utilizados nos serviços militares, policiais e aduaneiros que sejam mantidos em estabelecimentos de criação ou de venda.</w:t>
            </w:r>
          </w:p>
          <w:p>
            <w:pPr>
              <w:spacing w:after="0" w:before="20"/>
              <w:ind w:right="80" w:left="80" w:firstLine="0"/>
            </w:pPr>
            <w:r>
              <w:rPr>
                <w:rFonts w:ascii="Calibri" w:hAnsi="Calibri"/>
                <w:b w:val="0"/>
                <w:i/>
                <w:color w:val="222222"/>
                <w:sz w:val="19"/>
              </w:rPr>
              <w:t>5.  Os operadores devem assegurar que os cães ou gatos sejam mantidos em condições que lhes permitam exibir comportamentos sociais não prejudiciais e comportamentos específicos da espécie, bem como vivenciar emoções positivas.</w:t>
            </w:r>
          </w:p>
          <w:p>
            <w:pPr>
              <w:spacing w:after="0" w:before="20"/>
              <w:ind w:right="80" w:left="80" w:firstLine="0"/>
            </w:pPr>
            <w:r>
              <w:rPr>
                <w:rFonts w:ascii="Calibri" w:hAnsi="Calibri"/>
                <w:b w:val="0"/>
                <w:i/>
                <w:color w:val="222222"/>
                <w:sz w:val="19"/>
              </w:rPr>
              <w:t>6. Os operadores devem assegurar que os cães ou gatos possam socializar em conformidade com o ponto 4 do anexo I. Os operadores de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os requisitos de socialização não se aplicam aos cães de proteção de gado mantidos em estabelecimentos de criação durante os períodos em que tais cães sejam utilizados para fins de guarda ou de treino, nem aos cães de pastoreio durante a transumância sazonal.</w:t>
            </w:r>
          </w:p>
          <w:p>
            <w:pPr>
              <w:spacing w:after="0" w:before="20"/>
              <w:ind w:right="80" w:left="80" w:firstLine="0"/>
            </w:pPr>
            <w:r>
              <w:rPr>
                <w:rFonts w:ascii="Calibri" w:hAnsi="Calibri"/>
                <w:b w:val="0"/>
                <w:i/>
                <w:color w:val="222222"/>
                <w:sz w:val="19"/>
              </w:rPr>
              <w:t>7. Os operadores devem assegurar que o enriquecimento seja facultado e esteja acessível a todos os cães ou gatos, criando-lhes um ambiente estimulante que lhes permita desenvolver e exibir comportamentos específicos da espécie e reduza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20"/>
              <w:ind w:right="80" w:left="80" w:firstLine="0"/>
            </w:pPr>
            <w:r>
              <w:rPr>
                <w:rFonts w:ascii="Calibri" w:hAnsi="Calibri"/>
                <w:b w:val="0"/>
                <w:i/>
                <w:color w:val="222222"/>
                <w:sz w:val="19"/>
              </w:rPr>
              <w:t>2.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20"/>
              <w:ind w:right="80" w:left="80" w:firstLine="0"/>
            </w:pPr>
            <w:r>
              <w:rPr>
                <w:rFonts w:ascii="Calibri" w:hAnsi="Calibri"/>
                <w:b w:val="0"/>
                <w:i/>
                <w:color w:val="222222"/>
                <w:sz w:val="19"/>
              </w:rPr>
              <w:t>3. A título de derrogação do parágrafo 1, os Estados-Membros podem permitir o corte de orelhas por entalhe ou ponta das orelhas de gatos no contexto de marcação de gatos errantes quando esterilizados sob um programa de captura-esterilização-libertação.</w:t>
            </w:r>
          </w:p>
          <w:p>
            <w:pPr>
              <w:spacing w:after="0" w:before="20"/>
              <w:ind w:right="80" w:left="80" w:firstLine="0"/>
            </w:pPr>
            <w:r>
              <w:rPr>
                <w:rFonts w:ascii="Calibri" w:hAnsi="Calibri"/>
                <w:b w:val="0"/>
                <w:i/>
                <w:color w:val="222222"/>
                <w:sz w:val="19"/>
              </w:rPr>
              <w:t>4.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20"/>
              <w:ind w:right="80" w:left="80" w:firstLine="0"/>
            </w:pPr>
            <w:r>
              <w:rPr>
                <w:rFonts w:ascii="Calibri" w:hAnsi="Calibri"/>
                <w:b w:val="0"/>
                <w:i/>
                <w:color w:val="222222"/>
                <w:sz w:val="19"/>
              </w:rPr>
              <w:t>5.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w:t>
              <w:tab/>
              <w:t>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w:t>
              <w:tab/>
              <w:t>chutar, bater, arrastar, atirar, apertar cães ou gatos;</w:t>
            </w:r>
          </w:p>
          <w:p>
            <w:pPr>
              <w:spacing w:after="0" w:before="20"/>
              <w:ind w:right="80" w:left="360" w:hanging="280"/>
            </w:pPr>
            <w:r>
              <w:rPr>
                <w:rFonts w:ascii="Calibri" w:hAnsi="Calibri"/>
                <w:b w:val="0"/>
                <w:i/>
                <w:color w:val="222222"/>
                <w:sz w:val="19"/>
              </w:rPr>
              <w:t>c)</w:t>
              <w:tab/>
              <w:t>aplicar corrente elétrica a cães ou gatos a menos que realizado por razões médicas;</w:t>
            </w:r>
          </w:p>
          <w:p>
            <w:pPr>
              <w:spacing w:after="0" w:before="20"/>
              <w:ind w:right="80" w:left="360" w:hanging="280"/>
            </w:pPr>
            <w:r>
              <w:rPr>
                <w:rFonts w:ascii="Calibri" w:hAnsi="Calibri"/>
                <w:b w:val="0"/>
                <w:i/>
                <w:color w:val="222222"/>
                <w:sz w:val="19"/>
              </w:rPr>
              <w:t>d)</w:t>
              <w:tab/>
              <w:t>uso de açaimos,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e)</w:t>
              <w:tab/>
              <w:t>uso de colares de espinhos;</w:t>
            </w:r>
          </w:p>
          <w:p>
            <w:pPr>
              <w:spacing w:after="0" w:before="20"/>
              <w:ind w:right="80" w:left="360" w:hanging="280"/>
            </w:pPr>
            <w:r>
              <w:rPr>
                <w:rFonts w:ascii="Calibri" w:hAnsi="Calibri"/>
                <w:b w:val="0"/>
                <w:i/>
                <w:color w:val="222222"/>
                <w:sz w:val="19"/>
              </w:rPr>
              <w:t>f)</w:t>
              <w:tab/>
              <w:t>uso de colares de estrangulamento sem paragem de segurança;</w:t>
            </w:r>
          </w:p>
          <w:p>
            <w:pPr>
              <w:spacing w:after="0" w:before="20"/>
              <w:ind w:right="80" w:left="360" w:hanging="280"/>
            </w:pPr>
            <w:r>
              <w:rPr>
                <w:rFonts w:ascii="Calibri" w:hAnsi="Calibri"/>
                <w:b w:val="0"/>
                <w:i/>
                <w:color w:val="222222"/>
                <w:sz w:val="19"/>
              </w:rPr>
              <w:t>g)</w:t>
              <w:tab/>
              <w:t>levantar cães ou gatos pelas extremidades, cabeça, orelhas, cauda ou pêlo, ou levantar cães ou gatos adultos pela pele.</w:t>
            </w:r>
          </w:p>
          <w:p>
            <w:pPr>
              <w:spacing w:after="0" w:before="20"/>
              <w:ind w:right="80" w:left="80" w:firstLine="0"/>
            </w:pPr>
            <w:r>
              <w:rPr>
                <w:rFonts w:ascii="Calibri" w:hAnsi="Calibri"/>
                <w:b w:val="0"/>
                <w:i/>
                <w:color w:val="222222"/>
                <w:sz w:val="19"/>
              </w:rPr>
              <w:t>Os Estados-Membros podem conceder derrogações do primeiro parágrafo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20"/>
              <w:ind w:right="80" w:left="80" w:firstLine="0"/>
            </w:pPr>
            <w:r>
              <w:rPr>
                <w:rFonts w:ascii="Calibri" w:hAnsi="Calibri"/>
                <w:b w:val="0"/>
                <w:i/>
                <w:color w:val="222222"/>
                <w:sz w:val="19"/>
              </w:rPr>
              <w:t>2. 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2.</w:t>
              <w:tab/>
              <w:t>Os operadores devem assegurar que os cães e gatos nascidos nos seus estabelecimentos sejam identificados individualmente no prazo de três meses após o nascimento e, em qualquer caso, antes da data da sua colocação no mercado.</w:t>
            </w:r>
          </w:p>
          <w:p>
            <w:pPr>
              <w:spacing w:after="0" w:before="20"/>
              <w:ind w:right="80" w:left="80" w:firstLine="0"/>
            </w:pPr>
            <w:r>
              <w:rPr>
                <w:rFonts w:ascii="Calibri" w:hAnsi="Calibri"/>
                <w:b w:val="0"/>
                <w:i/>
                <w:color w:val="222222"/>
                <w:sz w:val="19"/>
              </w:rPr>
              <w:t>Os operadores de estabelecimentos de venda e abrigos, e os operadores que colocam e são responsáveis por cães e gatos em famílias de acolhimento, devem assegurar que os cães e gatos que entrem nos seus estabelecimentos ou fiquem sob a sua responsabilidade sejam identificados individualmente no prazo de 30 dias após a chegada e, em qualquer caso, antes da data da sua colocação no mercado.</w:t>
            </w:r>
          </w:p>
          <w:p>
            <w:pPr>
              <w:spacing w:after="0" w:before="20"/>
              <w:ind w:right="80" w:left="80" w:firstLine="0"/>
            </w:pPr>
            <w:r>
              <w:rPr>
                <w:rFonts w:ascii="Calibri" w:hAnsi="Calibri"/>
                <w:b w:val="0"/>
                <w:i/>
                <w:color w:val="222222"/>
                <w:sz w:val="19"/>
              </w:rPr>
              <w:t>Os donos de animais de companhia e quaisquer outras pessoas singulares ou coletivas que não sejam operadores e que sejam proprietários de cães ou gatos devem assegurar que cada cão ou gato seja identificado individualmente o mais tardar quando o animal atingir a idade de três meses ou, caso o cão ou gato seja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permitir que a implantação de transponders seja efetuada por pessoas que não sejam médicos veterinários, desde que adotem regras nacionais que estabeleçam as qualificações mínimas que essas pessoas devem ter.</w:t>
            </w:r>
          </w:p>
          <w:p>
            <w:pPr>
              <w:spacing w:after="0" w:before="20"/>
              <w:ind w:right="80" w:left="80" w:firstLine="0"/>
            </w:pPr>
            <w:r>
              <w:rPr>
                <w:rFonts w:ascii="Calibri" w:hAnsi="Calibri"/>
                <w:b w:val="0"/>
                <w:i/>
                <w:color w:val="222222"/>
                <w:sz w:val="19"/>
              </w:rPr>
              <w:t>Caso os cães e gatos tenham sido identificados individualmente por meio de um transponder injetável contendo um microchip em conformidade com o direito da União ou nacional antes de … [data dois anos após a data de entrada em vigor do presente Regulamento], considera-se que cumprem os requisitos do n.º 1 e do primeiro, segundo, terceiro e quarto parágrafos do presente número, desde que o microchip seja ainda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permitir o registo por pessoas que não sejam médicos veterinários, desde que os Estados-Membros disponham de medidas para assegurar a exatidão das informações que essas pessoas introduzem na base de dados. No caso de cães e gatos mantidos em estabelecimentos, o registo deve ser efetuado em nome do operador do estabelecimento responsável pelo cão ou gato. No caso de cães e gatos detidos por quaisquer outras pessoas singulares ou coletivas, o registo deve ser efetuado em nome dessas pessoas.</w:t>
            </w:r>
          </w:p>
          <w:p>
            <w:pPr>
              <w:spacing w:after="0" w:before="20"/>
              <w:ind w:right="80" w:left="80" w:firstLine="0"/>
            </w:pPr>
            <w:r>
              <w:rPr>
                <w:rFonts w:ascii="Calibri" w:hAnsi="Calibri"/>
                <w:b w:val="0"/>
                <w:i/>
                <w:color w:val="222222"/>
                <w:sz w:val="19"/>
              </w:rPr>
              <w:t>Os Estados-Membros podem conceder derrogações ao primeiro parágrafo do presente número relativamente a cães militares, policiais e aduaneiros.</w:t>
            </w:r>
          </w:p>
          <w:p>
            <w:pPr>
              <w:spacing w:after="0" w:before="20"/>
              <w:ind w:right="80" w:left="80" w:firstLine="0"/>
            </w:pPr>
            <w:r>
              <w:rPr>
                <w:rFonts w:ascii="Calibri" w:hAnsi="Calibri"/>
                <w:b w:val="0"/>
                <w:i/>
                <w:color w:val="222222"/>
                <w:sz w:val="19"/>
              </w:rPr>
              <w:t>4.</w:t>
              <w:tab/>
              <w:t>Em caso de colocação no mercado ou cedência ocasional por pessoas singulares sem recorrer a publicidade em linha, a pessoa singular ou coletiva que transfere a propriedade ou a responsabilidade pelo cão ou gato deve assegurar que a mudança de propriedade ou de responsabilidade pelo cão ou gato é registada na base de dados referida no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gato, o operador, o dono do animal de companhia ou a pessoa singular ou coletiva proprietária do cão ou gato deve assegurar que a morte é registada na base de dados referida no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Caso um transponder seja ou fique ilegível, o operador ou a pessoa singular ou coletiva responsável pelo cão ou gato deve assegurar que um novo transponder é injetado e que o registo na base de dados é atualizado com o número de identificação desse novo transponder.</w:t>
            </w:r>
          </w:p>
          <w:p>
            <w:pPr>
              <w:spacing w:after="0" w:before="20"/>
              <w:ind w:right="80" w:left="80" w:firstLine="0"/>
            </w:pPr>
            <w:r>
              <w:rPr>
                <w:rFonts w:ascii="Calibri" w:hAnsi="Calibri"/>
                <w:b w:val="0"/>
                <w:i/>
                <w:color w:val="222222"/>
                <w:sz w:val="19"/>
              </w:rPr>
              <w:t>7.</w:t>
              <w:tab/>
              <w:t>Os requisitos de identificação e registo do presente artigo são aplicáveis:</w:t>
            </w:r>
          </w:p>
          <w:p>
            <w:pPr>
              <w:spacing w:after="0" w:before="20"/>
              <w:ind w:right="80" w:left="360" w:hanging="280"/>
            </w:pPr>
            <w:r>
              <w:rPr>
                <w:rFonts w:ascii="Calibri" w:hAnsi="Calibri"/>
                <w:b w:val="0"/>
                <w:i/>
                <w:color w:val="222222"/>
                <w:sz w:val="19"/>
              </w:rPr>
              <w:t>(a)</w:t>
              <w:tab/>
              <w:t>aos operadores e às pessoas singulares ou coletivas que colocam cães e gatos no mercado, a partir de … [4 anos após a entrada em vigor do presente Regulamento];</w:t>
            </w:r>
          </w:p>
          <w:p>
            <w:pPr>
              <w:spacing w:after="0" w:before="20"/>
              <w:ind w:right="80" w:left="360" w:hanging="280"/>
            </w:pPr>
            <w:r>
              <w:rPr>
                <w:rFonts w:ascii="Calibri" w:hAnsi="Calibri"/>
                <w:b w:val="0"/>
                <w:i/>
                <w:color w:val="222222"/>
                <w:sz w:val="19"/>
              </w:rPr>
              <w:t>(b)</w:t>
              <w:tab/>
              <w:t>aos donos de animais de companhia e outras pessoas singulares ou coletivas que não sejam operadores e que não coloquem cães no mercado, a partir de … [10 anos após a entrada em vigor do presente Regulamento];</w:t>
            </w:r>
          </w:p>
          <w:p>
            <w:pPr>
              <w:spacing w:after="0" w:before="20"/>
              <w:ind w:right="80" w:left="360" w:hanging="280"/>
            </w:pPr>
            <w:r>
              <w:rPr>
                <w:rFonts w:ascii="Calibri" w:hAnsi="Calibri"/>
                <w:b w:val="0"/>
                <w:i/>
                <w:color w:val="222222"/>
                <w:sz w:val="19"/>
              </w:rPr>
              <w:t>(c)</w:t>
              <w:tab/>
              <w:t>aos donos de animais de companhia e outras pessoas singulares ou coletivas que não sejam operadores e que não coloquem gatos no mercado, a partir de … [15 anos após a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operadores anunciem online um cão ou gato com vista ao seu colocamento no mercado da União, devem assegurar a apresentação do seguinte aviso no anúncio em caracteres claramente visíveis e em negrito:</w:t>
            </w:r>
          </w:p>
          <w:p>
            <w:pPr>
              <w:spacing w:after="0" w:before="2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20"/>
              <w:ind w:right="80" w:left="80" w:firstLine="0"/>
            </w:pPr>
            <w:r>
              <w:rPr>
                <w:rFonts w:ascii="Calibri" w:hAnsi="Calibri"/>
                <w:b w:val="0"/>
                <w:i/>
                <w:color w:val="222222"/>
                <w:sz w:val="19"/>
              </w:rPr>
              <w:t>2.</w:t>
              <w:tab/>
              <w:t>Quando pessoas singulares ou coletivas que não sejam operadores anunciem online um cão ou gato com vista ao seu colocamento no mercado da União, devem assegurar a apresentação de um aviso sobre detenção responsável utilizando a redação referida no n.º 1 ou uma redação diferente com significado equivalente.</w:t>
            </w:r>
          </w:p>
          <w:p>
            <w:pPr>
              <w:spacing w:after="0" w:before="20"/>
              <w:ind w:right="80" w:left="80" w:firstLine="0"/>
            </w:pPr>
            <w:r>
              <w:rPr>
                <w:rFonts w:ascii="Calibri" w:hAnsi="Calibri"/>
                <w:b w:val="0"/>
                <w:i/>
                <w:color w:val="222222"/>
                <w:sz w:val="19"/>
              </w:rPr>
              <w:t>3.</w:t>
              <w:tab/>
              <w:t>Ao colocar um cão ou gato no mercado na União, a pessoa singular ou coletiva que coloca o cão ou gato no mercado deve fornecer ao adquirente:</w:t>
            </w:r>
          </w:p>
          <w:p>
            <w:pPr>
              <w:spacing w:after="0" w:before="20"/>
              <w:ind w:right="80" w:left="360" w:hanging="280"/>
            </w:pPr>
            <w:r>
              <w:rPr>
                <w:rFonts w:ascii="Calibri" w:hAnsi="Calibri"/>
                <w:b w:val="0"/>
                <w:i/>
                <w:color w:val="222222"/>
                <w:sz w:val="19"/>
              </w:rPr>
              <w:t>(a)</w:t>
              <w:tab/>
              <w:t>prova da identificação e do registo do cão ou gato em conformidade com o artigo 20.º;</w:t>
            </w:r>
          </w:p>
          <w:p>
            <w:pPr>
              <w:spacing w:after="0" w:before="20"/>
              <w:ind w:right="80" w:left="360" w:hanging="280"/>
            </w:pPr>
            <w:r>
              <w:rPr>
                <w:rFonts w:ascii="Calibri" w:hAnsi="Calibri"/>
                <w:b w:val="0"/>
                <w:i/>
                <w:color w:val="222222"/>
                <w:sz w:val="19"/>
              </w:rPr>
              <w:t>(b)</w:t>
              <w:tab/>
              <w:t>as seguintes informações sobre o cão ou gato:</w:t>
            </w:r>
          </w:p>
          <w:p>
            <w:pPr>
              <w:spacing w:after="0" w:before="20"/>
              <w:ind w:right="80" w:left="360" w:hanging="280"/>
            </w:pPr>
            <w:r>
              <w:rPr>
                <w:rFonts w:ascii="Calibri" w:hAnsi="Calibri"/>
                <w:b w:val="0"/>
                <w:i/>
                <w:color w:val="222222"/>
                <w:sz w:val="19"/>
              </w:rPr>
              <w:t>(i)</w:t>
              <w:tab/>
              <w:t>a sua espécie;</w:t>
            </w:r>
          </w:p>
          <w:p>
            <w:pPr>
              <w:spacing w:after="0" w:before="20"/>
              <w:ind w:right="80" w:left="360" w:hanging="280"/>
            </w:pPr>
            <w:r>
              <w:rPr>
                <w:rFonts w:ascii="Calibri" w:hAnsi="Calibri"/>
                <w:b w:val="0"/>
                <w:i/>
                <w:color w:val="222222"/>
                <w:sz w:val="19"/>
              </w:rPr>
              <w:t>(ii)</w:t>
              <w:tab/>
              <w:t>o seu sexo;</w:t>
            </w:r>
          </w:p>
          <w:p>
            <w:pPr>
              <w:spacing w:after="0" w:before="20"/>
              <w:ind w:right="80" w:left="360" w:hanging="280"/>
            </w:pPr>
            <w:r>
              <w:rPr>
                <w:rFonts w:ascii="Calibri" w:hAnsi="Calibri"/>
                <w:b w:val="0"/>
                <w:i/>
                <w:color w:val="222222"/>
                <w:sz w:val="19"/>
              </w:rPr>
              <w:t>(iii)</w:t>
              <w:tab/>
              <w:t>a sua data e país de nascimento; e</w:t>
            </w:r>
          </w:p>
          <w:p>
            <w:pPr>
              <w:spacing w:after="0" w:before="20"/>
              <w:ind w:right="80" w:left="360" w:hanging="280"/>
            </w:pPr>
            <w:r>
              <w:rPr>
                <w:rFonts w:ascii="Calibri" w:hAnsi="Calibri"/>
                <w:b w:val="0"/>
                <w:i/>
                <w:color w:val="222222"/>
                <w:sz w:val="19"/>
              </w:rPr>
              <w:t>(iv)</w:t>
              <w:tab/>
              <w:t>quando relevante, a sua raça.</w:t>
            </w:r>
          </w:p>
          <w:p>
            <w:pPr>
              <w:spacing w:after="0" w:before="20"/>
              <w:ind w:right="80" w:left="80" w:firstLine="0"/>
            </w:pPr>
            <w:r>
              <w:rPr>
                <w:rFonts w:ascii="Calibri" w:hAnsi="Calibri"/>
                <w:b w:val="0"/>
                <w:i/>
                <w:color w:val="222222"/>
                <w:sz w:val="19"/>
              </w:rPr>
              <w:t>Caso uma pessoa singular ou coletiva anuncie um cão ou gato online com vista ao seu colocamento no mercado da União, essa pessoa deve utilizar o sistema referido no n.º 5 para gerar um token único de verificação e incluir esse token no anúncio, juntamente com uma ligação web para o sistema referido no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de cães ou gatos anunciados online.</w:t>
            </w:r>
          </w:p>
          <w:p>
            <w:pPr>
              <w:spacing w:after="0" w:before="20"/>
              <w:ind w:right="80" w:left="80" w:firstLine="0"/>
            </w:pPr>
            <w:r>
              <w:rPr>
                <w:rFonts w:ascii="Calibri" w:hAnsi="Calibri"/>
                <w:b w:val="0"/>
                <w:i/>
                <w:color w:val="222222"/>
                <w:sz w:val="19"/>
              </w:rPr>
              <w:t>4.</w:t>
              <w:tab/>
              <w:t>Os fornecedores de plataformas online devem assegurar que a sua interface online é concebida e organizada de forma a facilitar aos operadores ou outras pessoas singulares ou coletivas que colocam cães ou gatos no mercado o cumprimento das suas obrigações nos termos dos n.ºs 1 a 3 do presente artigo, e em conformidade com o artigo 31.º do Regulamento (UE) 2022/2065, e devem informar os adquirentes, de forma visível, da possibilidade de verificar a autenticidade da identificação, do registo e da propriedade do cão ou gato no sistema de verificação online referido no n.º 5, acessível através de uma ligação web.</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fornecidas através da interface da plataforma online. Nenhuma disposição do presente número pode ser interpretada como impondo uma obrigação geral de monitorização ao fornecedor da plataforma online, na aceção do artigo 8.º do Regulamento (UE) 2022/2065.</w:t>
            </w:r>
          </w:p>
          <w:p>
            <w:pPr>
              <w:spacing w:after="0" w:before="20"/>
              <w:ind w:right="80" w:left="80" w:firstLine="0"/>
            </w:pPr>
            <w:r>
              <w:rPr>
                <w:rFonts w:ascii="Calibri" w:hAnsi="Calibri"/>
                <w:b w:val="0"/>
                <w:i/>
                <w:color w:val="222222"/>
                <w:sz w:val="19"/>
              </w:rPr>
              <w:t>5.</w:t>
              <w:tab/>
              <w:t>A Comissão garante que um sistema de verificação destinado a realizar controlos automatizados da autenticidade da identificação, do registo e da propriedade de cães ou gatos anunciados online, utilizando a base de dados referida no artigo 23.º, está publicamente disponível online, a título gratuito, e gera o token único de verificação referido no segundo parágrafo do n.º 3 do presente artigo. A Comissão pode confiar o desenvolvimento, a manutenção e o funcionamento deste sistema a uma entidade independente, escolhida para essa missão na sequência de um processo de seleção pública. O sistema deve assegurar:</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referidas no artigo 23.º;</w:t>
            </w:r>
          </w:p>
          <w:p>
            <w:pPr>
              <w:spacing w:after="0" w:before="20"/>
              <w:ind w:right="80" w:left="360" w:hanging="280"/>
            </w:pPr>
            <w:r>
              <w:rPr>
                <w:rFonts w:ascii="Calibri" w:hAnsi="Calibri"/>
                <w:b w:val="0"/>
                <w:i/>
                <w:color w:val="222222"/>
                <w:sz w:val="19"/>
              </w:rPr>
              <w:t>(b)</w:t>
              <w:tab/>
              <w:t>a conformidade com a proteção de dados, em conformidade com o Regulamento (UE) 2018/1725 e o Regulamento (UE) 2016/679.</w:t>
            </w:r>
          </w:p>
          <w:p>
            <w:pPr>
              <w:spacing w:after="0" w:before="20"/>
              <w:ind w:right="80" w:left="80" w:firstLine="0"/>
            </w:pPr>
            <w:r>
              <w:rPr>
                <w:rFonts w:ascii="Calibri" w:hAnsi="Calibri"/>
                <w:b w:val="0"/>
                <w:i/>
                <w:color w:val="222222"/>
                <w:sz w:val="19"/>
              </w:rPr>
              <w:t>6.</w:t>
              <w:tab/>
              <w:t>A Comissão adota atos de execução que estabelecem:</w:t>
            </w:r>
          </w:p>
          <w:p>
            <w:pPr>
              <w:spacing w:after="0" w:before="20"/>
              <w:ind w:right="80" w:left="360" w:hanging="280"/>
            </w:pPr>
            <w:r>
              <w:rPr>
                <w:rFonts w:ascii="Calibri" w:hAnsi="Calibri"/>
                <w:b w:val="0"/>
                <w:i/>
                <w:color w:val="222222"/>
                <w:sz w:val="19"/>
              </w:rPr>
              <w:t>(a)</w:t>
              <w:tab/>
              <w:t>as informações a fornecer pelas pessoas singulares e coletivas que colocam cães ou gatos no mercado como prova de identificação e registo dos cães e gatos em conformidade com o n.º 3, alínea a);</w:t>
            </w:r>
          </w:p>
          <w:p>
            <w:pPr>
              <w:spacing w:after="0" w:before="20"/>
              <w:ind w:right="80" w:left="360" w:hanging="280"/>
            </w:pPr>
            <w:r>
              <w:rPr>
                <w:rFonts w:ascii="Calibri" w:hAnsi="Calibri"/>
                <w:b w:val="0"/>
                <w:i/>
                <w:color w:val="222222"/>
                <w:sz w:val="19"/>
              </w:rPr>
              <w:t>(b)</w:t>
              <w:tab/>
              <w:t>as informações a fornecer pelas pessoas singulares e coletivas que anunciam cães ou gatos ao sistema de verificação referido no n.º 5, para efeitos de demonstração da autenticidade da identificação, do registo e da propriedade do cão ou gato anunciado;</w:t>
            </w:r>
          </w:p>
          <w:p>
            <w:pPr>
              <w:spacing w:after="0" w:before="20"/>
              <w:ind w:right="80" w:left="360" w:hanging="280"/>
            </w:pPr>
            <w:r>
              <w:rPr>
                <w:rFonts w:ascii="Calibri" w:hAnsi="Calibri"/>
                <w:b w:val="0"/>
                <w:i/>
                <w:color w:val="222222"/>
                <w:sz w:val="19"/>
              </w:rPr>
              <w:t>(c)</w:t>
              <w:tab/>
              <w:t>as seguintes características do sistema referido no n.º 5:</w:t>
            </w:r>
          </w:p>
          <w:p>
            <w:pPr>
              <w:spacing w:after="0" w:before="20"/>
              <w:ind w:right="80" w:left="80" w:firstLine="0"/>
            </w:pPr>
            <w:r>
              <w:rPr>
                <w:rFonts w:ascii="Calibri" w:hAnsi="Calibri"/>
                <w:b w:val="0"/>
                <w:i/>
                <w:color w:val="222222"/>
                <w:sz w:val="19"/>
              </w:rPr>
              <w:t>-</w:t>
              <w:tab/>
              <w:t>as funções essenciais do sistema;</w:t>
            </w:r>
          </w:p>
          <w:p>
            <w:pPr>
              <w:spacing w:after="0" w:before="20"/>
              <w:ind w:right="80" w:left="80" w:firstLine="0"/>
            </w:pPr>
            <w:r>
              <w:rPr>
                <w:rFonts w:ascii="Calibri" w:hAnsi="Calibri"/>
                <w:b w:val="0"/>
                <w:i/>
                <w:color w:val="222222"/>
                <w:sz w:val="19"/>
              </w:rPr>
              <w:t>-</w:t>
              <w:tab/>
              <w:t>os requisitos técnicos, eletrónicos e criptográficos do sistema;</w:t>
            </w:r>
          </w:p>
          <w:p>
            <w:pPr>
              <w:spacing w:after="0" w:before="20"/>
              <w:ind w:right="80" w:left="80" w:firstLine="0"/>
            </w:pPr>
            <w:r>
              <w:rPr>
                <w:rFonts w:ascii="Calibri" w:hAnsi="Calibri"/>
                <w:b w:val="0"/>
                <w:i/>
                <w:color w:val="222222"/>
                <w:sz w:val="19"/>
              </w:rPr>
              <w:t>-</w:t>
              <w:tab/>
              <w:t>os passos procedimentais a seguir, e as informações a fornecer, pela pessoa singular ou coletiva que coloca o cão ou gato no mercado, bem como os passos e informações exigidos ao adquirente, para que o sistema de verificação online funcione.</w:t>
            </w:r>
          </w:p>
          <w:p>
            <w:pPr>
              <w:spacing w:after="0" w:before="20"/>
              <w:ind w:right="80" w:left="80" w:firstLine="0"/>
            </w:pPr>
            <w:r>
              <w:rPr>
                <w:rFonts w:ascii="Calibri" w:hAnsi="Calibri"/>
                <w:b w:val="0"/>
                <w:i/>
                <w:color w:val="222222"/>
                <w:sz w:val="19"/>
              </w:rPr>
              <w:t>Os atos de execução referidos na alínea a) devem ser adotados até … [dois anos após a data de entrada em vigor do presente Regulamento] e os atos de execução referidos nas alíneas b) e c) devem ser adotados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20"/>
              <w:ind w:right="80" w:left="360" w:hanging="280"/>
            </w:pPr>
            <w:r>
              <w:rPr>
                <w:rFonts w:ascii="Calibri" w:hAnsi="Calibri"/>
                <w:b w:val="0"/>
                <w:i/>
                <w:color w:val="222222"/>
                <w:sz w:val="19"/>
              </w:rPr>
              <w:t>a) Assegurar que existem cursos de formação disponíveis para cuidadores de animais;</w:t>
            </w:r>
          </w:p>
          <w:p>
            <w:pPr>
              <w:spacing w:after="0" w:before="2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12.º, parágrafo 3;</w:t>
            </w:r>
          </w:p>
          <w:p>
            <w:pPr>
              <w:spacing w:after="0" w:before="20"/>
              <w:ind w:right="80" w:left="360" w:hanging="280"/>
            </w:pPr>
            <w:r>
              <w:rPr>
                <w:rFonts w:ascii="Calibri" w:hAnsi="Calibri"/>
                <w:b w:val="0"/>
                <w:i/>
                <w:color w:val="222222"/>
                <w:sz w:val="19"/>
              </w:rPr>
              <w:t>c) Certificar os cuidadores de animais que completaram com sucesso os cursos de formação referidos na alínea a).</w:t>
            </w:r>
          </w:p>
          <w:p>
            <w:pPr>
              <w:spacing w:after="0" w:before="20"/>
              <w:ind w:right="80" w:left="80" w:firstLine="0"/>
            </w:pPr>
            <w:r>
              <w:rPr>
                <w:rFonts w:ascii="Calibri" w:hAnsi="Calibri"/>
                <w:b w:val="0"/>
                <w:i/>
                <w:color w:val="222222"/>
                <w:sz w:val="19"/>
              </w:rPr>
              <w:t>2. As autoridades competentes podem delegar a tarefa referida na alínea (c)</w:t>
            </w:r>
          </w:p>
          <w:p>
            <w:pPr>
              <w:spacing w:after="0" w:before="2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 artigo 20.º, n.ºs 1 e 2, e com o artigo 26.º, n.ºs 3 e 4, segundo parágrafo.</w:t>
            </w:r>
          </w:p>
          <w:p>
            <w:pPr>
              <w:spacing w:after="0" w:before="20"/>
              <w:ind w:right="80" w:left="80" w:firstLine="0"/>
            </w:pPr>
            <w:r>
              <w:rPr>
                <w:rFonts w:ascii="Calibri" w:hAnsi="Calibri"/>
                <w:b w:val="0"/>
                <w:i/>
                <w:color w:val="222222"/>
                <w:sz w:val="19"/>
              </w:rPr>
              <w:t>2. Para este efeito, os Estados-Membros podem utilizar bases de dados mantidas por outro Estado-Membro, com base em acordos apropriados entre esses Estados-Membros.</w:t>
            </w:r>
          </w:p>
          <w:p>
            <w:pPr>
              <w:spacing w:after="0" w:before="20"/>
              <w:ind w:right="80" w:left="80" w:firstLine="0"/>
            </w:pPr>
            <w:r>
              <w:rPr>
                <w:rFonts w:ascii="Calibri" w:hAnsi="Calibri"/>
                <w:b w:val="0"/>
                <w:i/>
                <w:color w:val="222222"/>
                <w:sz w:val="19"/>
              </w:rPr>
              <w:t>3. Os Estados-Membros asseguram que as suas bases de dados referidas no n.º 1 estão em conformidade com os requisitos estabelecidos pelo ato de execução referido no n.º 4, segundo parágrafo, alínea b), de modo a assegurar a sua interoperabilidade.</w:t>
            </w:r>
          </w:p>
          <w:p>
            <w:pPr>
              <w:spacing w:after="0" w:before="20"/>
              <w:ind w:right="80" w:left="80" w:firstLine="0"/>
            </w:pPr>
            <w:r>
              <w:rPr>
                <w:rFonts w:ascii="Calibri" w:hAnsi="Calibri"/>
                <w:b w:val="0"/>
                <w:i/>
                <w:color w:val="222222"/>
                <w:sz w:val="19"/>
              </w:rPr>
              <w:t>4. A Comissão estabelece e mantém uma base de dados de índice contendo o conjunto mínimo de campos estabelecido nos atos de execução referidos no segundo parágrafo, alínea b). A Comissão pode confiar o desenvolvimento, a manutenção e o funcionamento dessa base de dados de índice a uma entidade independente, na sequência de um processo de seleção pública.</w:t>
            </w:r>
          </w:p>
          <w:p>
            <w:pPr>
              <w:spacing w:after="0" w:before="20"/>
              <w:ind w:right="80" w:left="80" w:firstLine="0"/>
            </w:pPr>
            <w:r>
              <w:rPr>
                <w:rFonts w:ascii="Calibri" w:hAnsi="Calibri"/>
                <w:b w:val="0"/>
                <w:i/>
                <w:color w:val="222222"/>
                <w:sz w:val="19"/>
              </w:rPr>
              <w:t>A Comissão adota atos de execução que estabelecem regras pormenorizadas relativas a:</w:t>
            </w:r>
          </w:p>
          <w:p>
            <w:pPr>
              <w:spacing w:after="0" w:before="20"/>
              <w:ind w:right="80" w:left="360" w:hanging="280"/>
            </w:pPr>
            <w:r>
              <w:rPr>
                <w:rFonts w:ascii="Calibri" w:hAnsi="Calibri"/>
                <w:b w:val="0"/>
                <w:i/>
                <w:color w:val="222222"/>
                <w:sz w:val="19"/>
              </w:rPr>
              <w:t>(a) o conteúdo mínimo das bases de dados referidas no n.º 1;</w:t>
            </w:r>
          </w:p>
          <w:p>
            <w:pPr>
              <w:spacing w:after="0" w:before="20"/>
              <w:ind w:right="80" w:left="360" w:hanging="280"/>
            </w:pPr>
            <w:r>
              <w:rPr>
                <w:rFonts w:ascii="Calibri" w:hAnsi="Calibri"/>
                <w:b w:val="0"/>
                <w:i/>
                <w:color w:val="222222"/>
                <w:sz w:val="19"/>
              </w:rPr>
              <w:t>(b) a interoperabilidade entre as bases de dados dos Estados-Membros e a base de dados de índice, incluindo o conjunto mínimo de campos a transmitir à base de dados de índice e os intervalos da transmissão;</w:t>
            </w:r>
          </w:p>
          <w:p>
            <w:pPr>
              <w:spacing w:after="0" w:before="20"/>
              <w:ind w:right="80" w:left="360" w:hanging="280"/>
            </w:pPr>
            <w:r>
              <w:rPr>
                <w:rFonts w:ascii="Calibri" w:hAnsi="Calibri"/>
                <w:b w:val="0"/>
                <w:i/>
                <w:color w:val="222222"/>
                <w:sz w:val="19"/>
              </w:rPr>
              <w:t>(c) a funcionalidade para fornecer prova de identificação e registo de um cão ou gato, tal como referido no artigo 21.º, n.º 3, alínea a);</w:t>
            </w:r>
          </w:p>
          <w:p>
            <w:pPr>
              <w:spacing w:after="0" w:before="20"/>
              <w:ind w:right="80" w:left="360" w:hanging="280"/>
            </w:pPr>
            <w:r>
              <w:rPr>
                <w:rFonts w:ascii="Calibri" w:hAnsi="Calibri"/>
                <w:b w:val="0"/>
                <w:i/>
                <w:color w:val="222222"/>
                <w:sz w:val="19"/>
              </w:rPr>
              <w:t>(d) o registo onde os Estados-Membros declaram as suas bases de dados, e os parâmetros necessários para a conexão dessas bases de dados entre si, em conformidade com as disposições estabelecidas em aplicação da alínea b);</w:t>
            </w:r>
          </w:p>
          <w:p>
            <w:pPr>
              <w:spacing w:after="0" w:before="20"/>
              <w:ind w:right="80" w:left="360" w:hanging="280"/>
            </w:pPr>
            <w:r>
              <w:rPr>
                <w:rFonts w:ascii="Calibri" w:hAnsi="Calibri"/>
                <w:b w:val="0"/>
                <w:i/>
                <w:color w:val="222222"/>
                <w:sz w:val="19"/>
              </w:rPr>
              <w:t>(e) a interconexão entre as bases de dados dos Estados-Membros referidas no n.º 1, a base de dados de viajantes da União com animais de estimação referida no artigo 26.º, n.º 4, e o Sistema de Gestão da Informação para os Controlos Oficiais (IMSOC), quando relevante.</w:t>
            </w:r>
          </w:p>
          <w:p>
            <w:pPr>
              <w:spacing w:after="0" w:before="20"/>
              <w:ind w:right="80" w:left="80" w:firstLine="0"/>
            </w:pPr>
            <w:r>
              <w:rPr>
                <w:rFonts w:ascii="Calibri" w:hAnsi="Calibri"/>
                <w:b w:val="0"/>
                <w:i/>
                <w:color w:val="222222"/>
                <w:sz w:val="19"/>
              </w:rPr>
              <w:t>A Comissão adota os atos de execução referidos no segundo parágrafo, alíneas a) e c), até … [data dois anos após a data de entrada em vigor do presente Regulamento].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devem recolher, analisar e publicar os dados sobre bem-estar animal estabelecidos no Anexo III.</w:t>
            </w:r>
          </w:p>
          <w:p>
            <w:pPr>
              <w:spacing w:after="0" w:before="20"/>
              <w:ind w:right="80" w:left="80" w:firstLine="0"/>
            </w:pPr>
            <w:r>
              <w:rPr>
                <w:rFonts w:ascii="Calibri" w:hAnsi="Calibri"/>
                <w:b w:val="0"/>
                <w:i/>
                <w:color w:val="222222"/>
                <w:sz w:val="19"/>
              </w:rPr>
              <w:t>2. As autoridades competentes devem elaborar e transmitir à Comissão um relatório em formato eletrónico, sobre os dados relativos ao bem-estar animal estabelecidos no Anexo III, até 31 de agosto, com periodicidade trienal. O primeiro relatório deve ser elaborado e transmitido à Comissão até ... [data 6 anos após 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 A Comissão pode adotar atos de execução que estabeleçam uma metodologia harmonizada para a recolha dos dados sobre bem-estar animal estabelecidos no Anexo III e que definam um modelo para o relatório referido no n.º 2 do presente artigo. 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dos Estados-Membros devem ser controladoras na aceção do Regulamento (UE) 2016/679 no que respeita ao tratamento de dados pessoais recolhidos nos termos dos artigos 9.º e 10.º do presente Regulamento, bem como no âmbito do artigo 23.º, n.º 1, do presente Regulamento quando utilizados para efeitos de controlo oficial.</w:t>
            </w:r>
          </w:p>
          <w:p>
            <w:pPr>
              <w:spacing w:after="0" w:before="20"/>
              <w:ind w:right="80" w:left="80" w:firstLine="0"/>
            </w:pPr>
            <w:r>
              <w:rPr>
                <w:rFonts w:ascii="Calibri" w:hAnsi="Calibri"/>
                <w:b w:val="0"/>
                <w:i/>
                <w:color w:val="222222"/>
                <w:sz w:val="19"/>
              </w:rPr>
              <w:t>A Comissão deve ser controladora na aceção do Regulamento (UE) 2018/1725 no que respeita ao tratamento de dados pessoais recolhidos nos termos do artigo 21.º, n.º 5, do artigo 23.º, n.º 4, e do terceiro parágrafo do artigo 26.º, n.º 4, do presente Regulamento, bem como no âmbito do artigo 23.º, n.º 1, do presente Regulamento quando esses dados são utilizados para efeitos de conformidade com o artigo 108.º do Regulamento (UE) 2017/625 e de obrigações de comunicação de informações previstas no presente Regulamento.</w:t>
            </w:r>
          </w:p>
          <w:p>
            <w:pPr>
              <w:spacing w:after="0" w:before="20"/>
              <w:ind w:right="80" w:left="80" w:firstLine="0"/>
            </w:pPr>
            <w:r>
              <w:rPr>
                <w:rFonts w:ascii="Calibri" w:hAnsi="Calibri"/>
                <w:b w:val="0"/>
                <w:i/>
                <w:color w:val="222222"/>
                <w:sz w:val="19"/>
              </w:rPr>
              <w:t>É proibido a qualquer pessoa com acesso aos dados pessoais referidos nos primeiro e segundo parágrafos divulgar quaisquer dados pessoais cujo conhecimento tenha sido adquirido no exercício das suas funções ou a título acessório do exercício dessas funções. Os Estados-Membros e a Comissão devem adotar todas as medidas adequadas para fazer respeitar essa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outros fins que não:</w:t>
            </w:r>
          </w:p>
          <w:p>
            <w:pPr>
              <w:spacing w:after="0" w:before="20"/>
              <w:ind w:right="80" w:left="360" w:hanging="280"/>
            </w:pPr>
            <w:r>
              <w:rPr>
                <w:rFonts w:ascii="Calibri" w:hAnsi="Calibri"/>
                <w:b w:val="0"/>
                <w:i/>
                <w:color w:val="222222"/>
                <w:sz w:val="19"/>
              </w:rPr>
              <w:t>(a) controlos oficiais pelas autoridades competentes dos Estados-Membros da conformidade com os requisitos de bem-estar e de rastreabilidade do presente Regulamento e da conformidade com o Regulamento (UE) 2016/429, incluindo a deteção de práticas fraudulentas; e</w:t>
            </w:r>
          </w:p>
          <w:p>
            <w:pPr>
              <w:spacing w:after="0" w:before="20"/>
              <w:ind w:right="80" w:left="360" w:hanging="280"/>
            </w:pPr>
            <w:r>
              <w:rPr>
                <w:rFonts w:ascii="Calibri" w:hAnsi="Calibri"/>
                <w:b w:val="0"/>
                <w:i/>
                <w:color w:val="222222"/>
                <w:sz w:val="19"/>
              </w:rPr>
              <w:t>(b) o cumprimento pela Comissão das suas obrigações nos termos do artigo 108.º do Regulamento (UE) 2017/625 e das obrigações de comunicação de informações da Comissão previstas no presente Regulamento.</w:t>
            </w:r>
          </w:p>
          <w:p>
            <w:pPr>
              <w:spacing w:after="0" w:before="140"/>
              <w:ind w:right="80" w:left="80" w:firstLine="0"/>
            </w:pPr>
            <w:r>
              <w:rPr>
                <w:rFonts w:ascii="Calibri" w:hAnsi="Calibri"/>
                <w:b w:val="0"/>
                <w:i/>
                <w:color w:val="222222"/>
                <w:sz w:val="19"/>
              </w:rPr>
              <w:t>2. Os dados pessoais referidos no n.º 1 do presente artigo são conservados pelos seguintes períodos:</w:t>
            </w:r>
          </w:p>
          <w:p>
            <w:pPr>
              <w:spacing w:after="0" w:before="20"/>
              <w:ind w:right="80" w:left="360" w:hanging="280"/>
            </w:pPr>
            <w:r>
              <w:rPr>
                <w:rFonts w:ascii="Calibri" w:hAnsi="Calibri"/>
                <w:b w:val="0"/>
                <w:i/>
                <w:color w:val="222222"/>
                <w:sz w:val="19"/>
              </w:rPr>
              <w:t>(a) no caso dos artigos 9.º e 10.º, 10 anos após a data de cessação da atividade do estabelecimento;</w:t>
            </w:r>
          </w:p>
          <w:p>
            <w:pPr>
              <w:spacing w:after="0" w:before="20"/>
              <w:ind w:right="80" w:left="360" w:hanging="280"/>
            </w:pPr>
            <w:r>
              <w:rPr>
                <w:rFonts w:ascii="Calibri" w:hAnsi="Calibri"/>
                <w:b w:val="0"/>
                <w:i/>
                <w:color w:val="222222"/>
                <w:sz w:val="19"/>
              </w:rPr>
              <w:t>(b) no caso do artigo 21.º, n.º 5, 18 meses após a geração do token referido no artigo 21.º, n.º 3, segundo parágrafo;</w:t>
            </w:r>
          </w:p>
          <w:p>
            <w:pPr>
              <w:spacing w:after="0" w:before="20"/>
              <w:ind w:right="80" w:left="360" w:hanging="280"/>
            </w:pPr>
            <w:r>
              <w:rPr>
                <w:rFonts w:ascii="Calibri" w:hAnsi="Calibri"/>
                <w:b w:val="0"/>
                <w:i/>
                <w:color w:val="222222"/>
                <w:sz w:val="19"/>
              </w:rPr>
              <w:t>(c) no caso dos artigos 23.º, n.ºs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 (d)</w:t>
              <w:tab/>
              <w:t>no caso do artigo 26.º, n.º 4, terceiro parágrafo, 5 anos após a data da pré-notificação.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podem ser introduzidos na União para efeitos de colocação no mercado da União apenas se estiverem cumpridas as seguintes condições:</w:t>
            </w:r>
          </w:p>
          <w:p>
            <w:pPr>
              <w:spacing w:after="0" w:before="20"/>
              <w:ind w:right="80" w:left="360" w:hanging="280"/>
            </w:pPr>
            <w:r>
              <w:rPr>
                <w:rFonts w:ascii="Calibri" w:hAnsi="Calibri"/>
                <w:b w:val="0"/>
                <w:i/>
                <w:color w:val="222222"/>
                <w:sz w:val="19"/>
              </w:rPr>
              <w:t>(a)</w:t>
              <w:tab/>
              <w:t>tenham sido criados e mantidos em conformidade com qualquer das seguintes situações:</w:t>
            </w:r>
          </w:p>
          <w:p>
            <w:pPr>
              <w:spacing w:after="0" w:before="20"/>
              <w:ind w:right="80" w:left="360" w:hanging="280"/>
            </w:pPr>
            <w:r>
              <w:rPr>
                <w:rFonts w:ascii="Calibri" w:hAnsi="Calibri"/>
                <w:b w:val="0"/>
                <w:i/>
                <w:color w:val="222222"/>
                <w:sz w:val="19"/>
              </w:rPr>
              <w:t>(i)</w:t>
              <w:tab/>
              <w:t>os requisitos do Capítulo II do presente Regulamento;</w:t>
            </w:r>
          </w:p>
          <w:p>
            <w:pPr>
              <w:spacing w:after="0" w:before="20"/>
              <w:ind w:right="80" w:left="360" w:hanging="280"/>
            </w:pPr>
            <w:r>
              <w:rPr>
                <w:rFonts w:ascii="Calibri" w:hAnsi="Calibri"/>
                <w:b w:val="0"/>
                <w:i/>
                <w:color w:val="222222"/>
                <w:sz w:val="19"/>
              </w:rPr>
              <w:t>(ii)</w:t>
              <w:tab/>
              <w:t>requisitos reconhecidos pela União, em conformidade com o artigo 129.º do Regulamento (UE) 2017/625, como equivalentes aos estabelecidos no Capítulo II do presente Regulamento; ou</w:t>
            </w:r>
          </w:p>
          <w:p>
            <w:pPr>
              <w:spacing w:after="0" w:before="20"/>
              <w:ind w:right="80" w:left="360" w:hanging="280"/>
            </w:pPr>
            <w:r>
              <w:rPr>
                <w:rFonts w:ascii="Calibri" w:hAnsi="Calibri"/>
                <w:b w:val="0"/>
                <w:i/>
                <w:color w:val="222222"/>
                <w:sz w:val="19"/>
              </w:rPr>
              <w:t>(iii)</w:t>
              <w:tab/>
              <w:t>quando aplicável, requisitos constantes de um acordo específico entre a União e o país exportador.</w:t>
            </w:r>
          </w:p>
          <w:p>
            <w:pPr>
              <w:spacing w:after="0" w:before="20"/>
              <w:ind w:right="80" w:left="360" w:hanging="280"/>
            </w:pPr>
            <w:r>
              <w:rPr>
                <w:rFonts w:ascii="Calibri" w:hAnsi="Calibri"/>
                <w:b w:val="0"/>
                <w:i/>
                <w:color w:val="222222"/>
                <w:sz w:val="19"/>
              </w:rPr>
              <w:t>(b)</w:t>
              <w:tab/>
              <w:t>provenham de um país terceiro ou território e de um estabelecimento incluído em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desde países terceiros e territórios para efeitos de colocação no mercado da União deve conter uma atestação certificando a conformidade com o n.º 1 do presente artigo.</w:t>
            </w:r>
          </w:p>
          <w:p>
            <w:pPr>
              <w:spacing w:after="0" w:before="20"/>
              <w:ind w:right="80" w:left="80" w:firstLine="0"/>
            </w:pPr>
            <w:r>
              <w:rPr>
                <w:rFonts w:ascii="Calibri" w:hAnsi="Calibri"/>
                <w:b w:val="0"/>
                <w:i/>
                <w:color w:val="222222"/>
                <w:sz w:val="19"/>
              </w:rPr>
              <w:t>3.</w:t>
              <w:tab/>
              <w:t>Os cães e gatos introduzidos na União para efeitos de colocação no mercado da União devem ser identificados antes da sua entrada na União por um médico veterinário por meio de um transponder injetável contendo um microchip legível em conformidade com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deve assegurar que estes são registados por um médico veterinário numa base de dados nacional referida no artigo 23.º, n.º 1, no prazo de cinco dias úteis após a sua introdução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4.</w:t>
              <w:tab/>
              <w:t>O movimento não comercial de um cão ou gato desde um país terceiro ou território para a União deve ser pré-notificado pelo seu proprietário a uma base de dados online de viajantes da União com animais de estimação,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quando o cão ou gato é introduzido na União diretamente desde países terceiros ou territórios que satisfazem as condições estabelecidas no artigo 17.º, n.º 1, alínea a), do Regulamento Delegado (UE) …/… da Comissão; e</w:t>
            </w:r>
          </w:p>
          <w:p>
            <w:pPr>
              <w:spacing w:after="0" w:before="20"/>
              <w:ind w:right="80" w:left="360" w:hanging="280"/>
            </w:pPr>
            <w:r>
              <w:rPr>
                <w:rFonts w:ascii="Calibri" w:hAnsi="Calibri"/>
                <w:b w:val="0"/>
                <w:i/>
                <w:color w:val="222222"/>
                <w:sz w:val="19"/>
              </w:rPr>
              <w:t>(b)</w:t>
              <w:tab/>
              <w:t>quando o cão ou gato está registado numa base de dados de um Estado-Membro referida no artigo 23.º, n.º 1, do presente Regulamento.</w:t>
            </w:r>
          </w:p>
          <w:p>
            <w:pPr>
              <w:spacing w:after="0" w:before="20"/>
              <w:ind w:right="80" w:left="80" w:firstLine="0"/>
            </w:pPr>
            <w:r>
              <w:rPr>
                <w:rFonts w:ascii="Calibri" w:hAnsi="Calibri"/>
                <w:b w:val="0"/>
                <w:i/>
                <w:color w:val="222222"/>
                <w:sz w:val="19"/>
              </w:rPr>
              <w:t>Caso o cão ou gato permaneça mais de seis meses na União, o proprietário deve assegurar o seu registo por um médico veterinário na base de dados do Estado-Membro de residência referida no artigo 23.º, n.º 1, no prazo de cinco dias úteis após o termo do sexto mês desde a sua entrada na União. Os Estados-Membros podem permitir o registo por pessoas que não sejam médicos veterinários, desde que disponham de medidas para assegurar a exatidão das informações que essas pessoas introduzem na base de dados.</w:t>
            </w:r>
          </w:p>
          <w:p>
            <w:pPr>
              <w:spacing w:after="0" w:before="20"/>
              <w:ind w:right="80" w:left="80" w:firstLine="0"/>
            </w:pPr>
            <w:r>
              <w:rPr>
                <w:rFonts w:ascii="Calibri" w:hAnsi="Calibri"/>
                <w:b w:val="0"/>
                <w:i/>
                <w:color w:val="222222"/>
                <w:sz w:val="19"/>
              </w:rPr>
              <w:t>A Comissão estabelece e mantém a base de dados de viajantes da União com animais de estimação referida no primeiro parágrafo. A Comissão pode confiar o desenvolvimento, a manutenção e o funcionamento dessa base de dados a uma entidade independente, na sequência de um processo de seleção pública. O acesso a essa base de dados fica restrito às autoridades competentes dos Estados-Membros e à Comissão.</w:t>
            </w:r>
          </w:p>
          <w:p>
            <w:pPr>
              <w:spacing w:after="0" w:before="20"/>
              <w:ind w:right="80" w:left="80" w:firstLine="0"/>
            </w:pPr>
            <w:r>
              <w:rPr>
                <w:rFonts w:ascii="Calibri" w:hAnsi="Calibri"/>
                <w:b w:val="0"/>
                <w:i/>
                <w:color w:val="222222"/>
                <w:sz w:val="19"/>
              </w:rPr>
              <w:t>A Comissão assegura que a base de dados aciona notificações iRASFF para os movimentos pré-notificados que apresentem um risco de fraude. O Estado-Membro que recebe a notificação toma as medidas adequadas para dar seguimento à notificação, em conformidade com o artigo 105.º, n.º 2, do Regulamento (UE) 2017/625.</w:t>
            </w:r>
          </w:p>
          <w:p>
            <w:pPr>
              <w:spacing w:after="0" w:before="20"/>
              <w:ind w:right="80" w:left="80" w:firstLine="0"/>
            </w:pPr>
            <w:r>
              <w:rPr>
                <w:rFonts w:ascii="Calibri" w:hAnsi="Calibri"/>
                <w:b w:val="0"/>
                <w:i/>
                <w:color w:val="222222"/>
                <w:sz w:val="19"/>
              </w:rPr>
              <w:t>A Comissão adota, até … [8 anos após a data de entrada em vigor do presente Regulamento], atos de execução que estabelecem regras pormenorizadas relativas a:</w:t>
            </w:r>
          </w:p>
          <w:p>
            <w:pPr>
              <w:spacing w:after="0" w:before="20"/>
              <w:ind w:right="80" w:left="360" w:hanging="280"/>
            </w:pPr>
            <w:r>
              <w:rPr>
                <w:rFonts w:ascii="Calibri" w:hAnsi="Calibri"/>
                <w:b w:val="0"/>
                <w:i/>
                <w:color w:val="222222"/>
                <w:sz w:val="19"/>
              </w:rPr>
              <w:t>(i)</w:t>
              <w:tab/>
              <w:t>as informações a pré-notificar pelos proprietários em conformidade com o n.º 4 do presente artigo na base de dados de viajantes da União com animais de estimação, tendo em conta os requisitos de proteção de dados pessoais do Regulamento (UE) 2018/1725 e do Regulamento (UE) 2016/679;</w:t>
            </w:r>
          </w:p>
          <w:p>
            <w:pPr>
              <w:spacing w:after="0" w:before="20"/>
              <w:ind w:right="80" w:left="360" w:hanging="280"/>
            </w:pPr>
            <w:r>
              <w:rPr>
                <w:rFonts w:ascii="Calibri" w:hAnsi="Calibri"/>
                <w:b w:val="0"/>
                <w:i/>
                <w:color w:val="222222"/>
                <w:sz w:val="19"/>
              </w:rPr>
              <w:t>(ii)</w:t>
              <w:tab/>
              <w:t>o procedimento pelo qual o risco de fraude deve ser determinado, tendo em conta as atividades realizadas pela rede CAA.</w:t>
            </w:r>
          </w:p>
          <w:p>
            <w:pPr>
              <w:spacing w:after="0" w:before="20"/>
              <w:ind w:right="80" w:left="80" w:firstLine="0"/>
            </w:pPr>
            <w:r>
              <w:rPr>
                <w:rFonts w:ascii="Calibri" w:hAnsi="Calibri"/>
                <w:b w:val="0"/>
                <w:i/>
                <w:color w:val="222222"/>
                <w:sz w:val="19"/>
              </w:rPr>
              <w:t>Esses atos de execução são adotados em conformidade com o procedimento de exame referido no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em conformidade com o artigo 28.º que alterem os anexos do presente Regulamento para ter em conta o progresso científico e técnico, incluindo, quando relevante, pareceres científicos da Autoridade Europeia para a Segurança dos Alimentos, nos seguintes aspetos:</w:t>
            </w:r>
          </w:p>
          <w:p>
            <w:pPr>
              <w:spacing w:after="0" w:before="20"/>
              <w:ind w:right="80" w:left="360" w:hanging="280"/>
            </w:pPr>
            <w:r>
              <w:rPr>
                <w:rFonts w:ascii="Calibri" w:hAnsi="Calibri"/>
                <w:b w:val="0"/>
                <w:i/>
                <w:color w:val="222222"/>
                <w:sz w:val="19"/>
              </w:rPr>
              <w:t>(a) Um número adequado de cuidadores de animais em estabelecimentos de criação e venda;</w:t>
            </w:r>
          </w:p>
          <w:p>
            <w:pPr>
              <w:spacing w:after="0" w:before="20"/>
              <w:ind w:right="80" w:left="360" w:hanging="280"/>
            </w:pPr>
            <w:r>
              <w:rPr>
                <w:rFonts w:ascii="Calibri" w:hAnsi="Calibri"/>
                <w:b w:val="0"/>
                <w:i/>
                <w:color w:val="222222"/>
                <w:sz w:val="19"/>
              </w:rPr>
              <w:t>(b) Requisitos de abastecimento de água e alimentação e processo de desmame;</w:t>
            </w:r>
          </w:p>
          <w:p>
            <w:pPr>
              <w:spacing w:after="0" w:before="20"/>
              <w:ind w:right="80" w:left="360" w:hanging="280"/>
            </w:pPr>
            <w:r>
              <w:rPr>
                <w:rFonts w:ascii="Calibri" w:hAnsi="Calibri"/>
                <w:b w:val="0"/>
                <w:i/>
                <w:color w:val="222222"/>
                <w:sz w:val="19"/>
              </w:rPr>
              <w:t>(c) Gamas de temperatura;</w:t>
            </w:r>
          </w:p>
          <w:p>
            <w:pPr>
              <w:spacing w:after="0" w:before="20"/>
              <w:ind w:right="80" w:left="360" w:hanging="280"/>
            </w:pPr>
            <w:r>
              <w:rPr>
                <w:rFonts w:ascii="Calibri" w:hAnsi="Calibri"/>
                <w:b w:val="0"/>
                <w:i/>
                <w:color w:val="222222"/>
                <w:sz w:val="19"/>
              </w:rPr>
              <w:t>(d) Requisitos de iluminação;</w:t>
            </w:r>
          </w:p>
          <w:p>
            <w:pPr>
              <w:spacing w:after="0" w:before="20"/>
              <w:ind w:right="80" w:left="360" w:hanging="280"/>
            </w:pPr>
            <w:r>
              <w:rPr>
                <w:rFonts w:ascii="Calibri" w:hAnsi="Calibri"/>
                <w:b w:val="0"/>
                <w:i/>
                <w:color w:val="222222"/>
                <w:sz w:val="19"/>
              </w:rPr>
              <w:t>(e) Níveis de amoníaco e monóxido de carbono;</w:t>
            </w:r>
          </w:p>
          <w:p>
            <w:pPr>
              <w:spacing w:after="0" w:before="20"/>
              <w:ind w:right="80" w:left="360" w:hanging="280"/>
            </w:pPr>
            <w:r>
              <w:rPr>
                <w:rFonts w:ascii="Calibri" w:hAnsi="Calibri"/>
                <w:b w:val="0"/>
                <w:i/>
                <w:color w:val="222222"/>
                <w:sz w:val="19"/>
              </w:rPr>
              <w:t>(f) Conceção de canis e gatis;</w:t>
            </w:r>
          </w:p>
          <w:p>
            <w:pPr>
              <w:spacing w:after="0" w:before="20"/>
              <w:ind w:right="80" w:left="360" w:hanging="280"/>
            </w:pPr>
            <w:r>
              <w:rPr>
                <w:rFonts w:ascii="Calibri" w:hAnsi="Calibri"/>
                <w:b w:val="0"/>
                <w:i/>
                <w:color w:val="222222"/>
                <w:sz w:val="19"/>
              </w:rPr>
              <w:t>(g) Alojamento em grupo;</w:t>
            </w:r>
          </w:p>
          <w:p>
            <w:pPr>
              <w:spacing w:after="0" w:before="20"/>
              <w:ind w:right="80" w:left="360" w:hanging="280"/>
            </w:pPr>
            <w:r>
              <w:rPr>
                <w:rFonts w:ascii="Calibri" w:hAnsi="Calibri"/>
                <w:b w:val="0"/>
                <w:i/>
                <w:color w:val="222222"/>
                <w:sz w:val="19"/>
              </w:rPr>
              <w:t>(h) Espaços permitidos para diferentes categorias de cães e gatos;</w:t>
            </w:r>
          </w:p>
          <w:p>
            <w:pPr>
              <w:spacing w:after="0" w:before="20"/>
              <w:ind w:right="80" w:left="360" w:hanging="280"/>
            </w:pPr>
            <w:r>
              <w:rPr>
                <w:rFonts w:ascii="Calibri" w:hAnsi="Calibri"/>
                <w:b w:val="0"/>
                <w:i/>
                <w:color w:val="222222"/>
                <w:sz w:val="19"/>
              </w:rPr>
              <w:t>(i) Frequência de gestações;</w:t>
            </w:r>
          </w:p>
          <w:p>
            <w:pPr>
              <w:spacing w:after="0" w:before="20"/>
              <w:ind w:right="80" w:left="360" w:hanging="280"/>
            </w:pPr>
            <w:r>
              <w:rPr>
                <w:rFonts w:ascii="Calibri" w:hAnsi="Calibri"/>
                <w:b w:val="0"/>
                <w:i/>
                <w:color w:val="222222"/>
                <w:sz w:val="19"/>
              </w:rPr>
              <w:t>(j) Idade mínima e máxima de cadelas e gatas para reprodução;</w:t>
            </w:r>
          </w:p>
          <w:p>
            <w:pPr>
              <w:spacing w:after="0" w:before="2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20"/>
              <w:ind w:right="80" w:left="360" w:hanging="280"/>
            </w:pPr>
            <w:r>
              <w:rPr>
                <w:rFonts w:ascii="Calibri" w:hAnsi="Calibri"/>
                <w:b w:val="0"/>
                <w:i/>
                <w:color w:val="222222"/>
                <w:sz w:val="19"/>
              </w:rPr>
              <w:t>(l) Requisitos para transponders utilizados na identificação individual de cães e gatos;</w:t>
            </w:r>
          </w:p>
          <w:p>
            <w:pPr>
              <w:spacing w:after="0" w:before="20"/>
              <w:ind w:right="80" w:left="360" w:hanging="280"/>
            </w:pPr>
            <w:r>
              <w:rPr>
                <w:rFonts w:ascii="Calibri" w:hAnsi="Calibri"/>
                <w:b w:val="0"/>
                <w:i/>
                <w:color w:val="222222"/>
                <w:sz w:val="19"/>
              </w:rPr>
              <w:t>(m) Dados a recolher para avaliação e monitorização de políticas.</w:t>
            </w:r>
          </w:p>
          <w:p>
            <w:pPr>
              <w:spacing w:after="0" w:before="20"/>
              <w:ind w:right="80" w:left="80" w:firstLine="0"/>
            </w:pPr>
            <w:r>
              <w:rPr>
                <w:rFonts w:ascii="Calibri" w:hAnsi="Calibri"/>
                <w:b w:val="0"/>
                <w:i/>
                <w:color w:val="222222"/>
                <w:sz w:val="19"/>
              </w:rPr>
              <w:t>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 O poder de adotar atos delegados referido no artigo 7.º, n.º 8, no artigo 8.º-A, n.º 3, no artigo 13.º, n.º 2, e no artigo 27.º é conferido à Comissão por tempo indeterminado a partir de [data de entrada em vigor do presente regulamento].</w:t>
            </w:r>
          </w:p>
          <w:p>
            <w:pPr>
              <w:spacing w:after="0" w:before="20"/>
              <w:ind w:right="80" w:left="80" w:firstLine="0"/>
            </w:pPr>
            <w:r>
              <w:rPr>
                <w:rFonts w:ascii="Calibri" w:hAnsi="Calibri"/>
                <w:b w:val="0"/>
                <w:i/>
                <w:color w:val="222222"/>
                <w:sz w:val="19"/>
              </w:rPr>
              <w:t>3. A delegação de poderes referida no artigo 7.º, n.º 8, no artigo 8.º-A,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 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 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 Os atos delegados adotados nos termos do artigo 7.º, n.º 8, do artigo 8.º-A, n.º 3, do artigo 13.º, n.º 2, ou do artigo 27.º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20"/>
              <w:ind w:right="80" w:left="80" w:firstLine="0"/>
            </w:pPr>
            <w:r>
              <w:rPr>
                <w:rFonts w:ascii="Calibri" w:hAnsi="Calibri"/>
                <w:b w:val="0"/>
                <w:i/>
                <w:color w:val="222222"/>
                <w:sz w:val="19"/>
              </w:rPr>
              <w:t>2 — Caso se faça referência ao presente número, aplica-se o artigo 5.º do Regulamento (UE) n.º 182/2011.</w:t>
            </w:r>
          </w:p>
          <w:p>
            <w:pPr>
              <w:spacing w:after="0" w:before="2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não obsta a que os Estados-Membros mantenham disposições nacionais mais restritivas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20"/>
              <w:ind w:right="80" w:left="80" w:firstLine="0"/>
            </w:pPr>
            <w:r>
              <w:rPr>
                <w:rFonts w:ascii="Calibri" w:hAnsi="Calibri"/>
                <w:b w:val="0"/>
                <w:i/>
                <w:color w:val="222222"/>
                <w:sz w:val="19"/>
              </w:rPr>
              <w:t>2.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20"/>
              <w:ind w:right="80" w:left="80" w:firstLine="0"/>
            </w:pPr>
            <w:r>
              <w:rPr>
                <w:rFonts w:ascii="Calibri" w:hAnsi="Calibri"/>
                <w:b w:val="0"/>
                <w:i/>
                <w:color w:val="222222"/>
                <w:sz w:val="19"/>
              </w:rPr>
              <w:t>3. Um Estado-Membro que tenha disposições nacionais mais restritivas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Com base nos relatórios recebidos em conformidade com o artigo 24.º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2.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2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2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20"/>
              <w:ind w:right="80" w:left="80" w:firstLine="0"/>
            </w:pPr>
            <w:r>
              <w:rPr>
                <w:rFonts w:ascii="Calibri" w:hAnsi="Calibri"/>
                <w:b w:val="0"/>
                <w:i/>
                <w:color w:val="222222"/>
                <w:sz w:val="19"/>
              </w:rPr>
              <w:t>3.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É aplicável a partir de … [dois anos após a data de entrada em vigor do presente Regulamento]. Todavia:</w:t>
            </w:r>
          </w:p>
          <w:p>
            <w:pPr>
              <w:spacing w:after="0" w:before="20"/>
              <w:ind w:right="80" w:left="80" w:firstLine="0"/>
            </w:pPr>
            <w:r>
              <w:rPr>
                <w:rFonts w:ascii="Calibri" w:hAnsi="Calibri"/>
                <w:b w:val="0"/>
                <w:i/>
                <w:color w:val="222222"/>
                <w:sz w:val="19"/>
              </w:rPr>
              <w:t>i. o artigo 16.º é aplicável a partir de … [três anos após a data de entrada em vigor do presente Regulamento];</w:t>
            </w:r>
          </w:p>
          <w:p>
            <w:pPr>
              <w:spacing w:after="0" w:before="20"/>
              <w:ind w:right="80" w:left="80" w:firstLine="0"/>
            </w:pPr>
            <w:r>
              <w:rPr>
                <w:rFonts w:ascii="Calibri" w:hAnsi="Calibri"/>
                <w:b w:val="0"/>
                <w:i/>
                <w:color w:val="222222"/>
                <w:sz w:val="19"/>
              </w:rPr>
              <w:t>ii. o artigo 21.º, n.º 3, e o artigo 23.º, n.º 1, são aplicáveis a partir de … [quatro anos após a entrada em vigor do presente Regulamento];</w:t>
            </w:r>
          </w:p>
          <w:p>
            <w:pPr>
              <w:spacing w:after="0" w:before="20"/>
              <w:ind w:right="80" w:left="80" w:firstLine="0"/>
            </w:pPr>
            <w:r>
              <w:rPr>
                <w:rFonts w:ascii="Calibri" w:hAnsi="Calibri"/>
                <w:b w:val="0"/>
                <w:i/>
                <w:color w:val="222222"/>
                <w:sz w:val="19"/>
              </w:rPr>
              <w:t>iii. o artigo 8.º-A, n.º 1, é aplicável a partir de 1 de julho de 2036 e o artigo 8.º-A, n.º 2, é aplicável a partir de 1 de julho de 2030;</w:t>
            </w:r>
          </w:p>
          <w:p>
            <w:pPr>
              <w:spacing w:after="0" w:before="20"/>
              <w:ind w:right="80" w:left="80" w:firstLine="0"/>
            </w:pPr>
            <w:r>
              <w:rPr>
                <w:rFonts w:ascii="Calibri" w:hAnsi="Calibri"/>
                <w:b w:val="0"/>
                <w:i/>
                <w:color w:val="222222"/>
                <w:sz w:val="19"/>
              </w:rPr>
              <w:t>iv. o artigo 15.º, o artigo 21.º, n.º 3, segundo parágrafo, n.ºs 4 e 5, o artigo 22.º, n.º 1, alíneas a), b) e c), o artigo 23.º, n.ºs 3 e 4, e o artigo 26.º, n.ºs 1, 2 e 3, são aplicáveis a partir de … [cinco anos após a data de entrada em vigor do presente Regulamento];</w:t>
            </w:r>
          </w:p>
          <w:p>
            <w:pPr>
              <w:spacing w:after="0" w:before="20"/>
              <w:ind w:right="80" w:left="80" w:firstLine="0"/>
            </w:pPr>
            <w:r>
              <w:rPr>
                <w:rFonts w:ascii="Calibri" w:hAnsi="Calibri"/>
                <w:b w:val="0"/>
                <w:i/>
                <w:color w:val="222222"/>
                <w:sz w:val="19"/>
              </w:rPr>
              <w:t>v. o artigo 12.º, n.ºs 2 e 3, é aplicável a partir de … [sete anos após a data de entrada em vigor do presente Regulamento];</w:t>
            </w:r>
          </w:p>
          <w:p>
            <w:pPr>
              <w:spacing w:after="0" w:before="20"/>
              <w:ind w:right="80" w:left="80" w:firstLine="0"/>
            </w:pPr>
            <w:r>
              <w:rPr>
                <w:rFonts w:ascii="Calibri" w:hAnsi="Calibri"/>
                <w:b w:val="0"/>
                <w:i/>
                <w:color w:val="222222"/>
                <w:sz w:val="19"/>
              </w:rPr>
              <w:t>vi. o artigo 10.º é aplicável a partir de … [oito anos após a data de entrada em vigor do presente Regulamento]; e</w:t>
            </w:r>
          </w:p>
          <w:p>
            <w:pPr>
              <w:spacing w:after="0" w:before="20"/>
              <w:ind w:right="80" w:left="80" w:firstLine="0"/>
            </w:pPr>
            <w:r>
              <w:rPr>
                <w:rFonts w:ascii="Calibri" w:hAnsi="Calibri"/>
                <w:b w:val="0"/>
                <w:i/>
                <w:color w:val="222222"/>
                <w:sz w:val="19"/>
              </w:rPr>
              <w:t>vii. o artigo 26.º, n.º 4, é aplicável a partir de … [10 anos após a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