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5"/>
        </w:rPr>
        <w:t>Animais de companhia e atividade pecuária</w:t>
      </w:r>
    </w:p>
    <w:p>
      <w:pPr>
        <w:spacing w:after="320"/>
      </w:pPr>
      <w:r>
        <w:rPr>
          <w:i/>
          <w:sz w:val="19"/>
        </w:rPr>
        <w:t>Observações ao projeto de DL das atividades económicas (versão de 25.9.2026), à consideração. V.3.</w:t>
      </w:r>
    </w:p>
    <w:p>
      <w:r>
        <w:t>A definição de atividade pecuária, na alínea c) do artigo 48.º do anexo, exclui a apicultura. Até 21 de setembro excluía também os animais de companhia, e essa parte foi retirada, ficando a frase «com exceção da apicultura eem:».</w:t>
      </w:r>
    </w:p>
    <w:p>
      <w:r>
        <w:t>Assinalamos porque o regime em vigor mantém as duas exclusões: a alínea a) do n.º 3 do artigo 1.º do Decreto-Lei n.º 81/2013 afasta do seu âmbito a apicultura e os animais de companhia.</w:t>
      </w:r>
    </w:p>
    <w:p>
      <w:r>
        <w:t>É no Decreto-Lei n.º 276/2001 que estão as regras de alojamento destas espécies, com as medidas das caixas para pequenos roedores e coelhos no artigo 26.º, mas esse diploma exclui do seu âmbito «as espécies de pecuária». E a Lei da Saúde Animal define animal de companhia, no ponto 11 do artigo 4.º do Regulamento (UE) 2016/429, como o animal das espécies do anexo I «detido para fins privados não comerciais», ou seja, pela finalidade e não pela espécie.</w:t>
      </w:r>
    </w:p>
    <w:p>
      <w:r>
        <w:t>Dá-se à consideração que se esclareça o alcance pretendido, repondo a exclusão ou adotando o critério da Lei da Saúde Animal. E que se corrija o «eem».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