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93" w:lineRule="auto"/>
      </w:pPr>
      <w:r>
        <w:rPr>
          <w:rFonts w:ascii="Aptos" w:hAnsi="Aptos" w:cs="Aptos" w:eastAsia="Aptos"/>
          <w:b/>
          <w:i w:val="0"/>
          <w:color w:val="5C7891"/>
          <w:spacing w:val="50"/>
          <w:sz w:val="17"/>
        </w:rPr>
        <w:t>DIREÇÃO-GERAL DE ALIMENTAÇÃO E VETERINÁRIA</w:t>
      </w:r>
    </w:p>
    <w:p>
      <w:pPr>
        <w:spacing w:before="0" w:after="40" w:line="293" w:lineRule="auto"/>
      </w:pPr>
      <w:r>
        <w:rPr>
          <w:rFonts w:ascii="Aptos" w:hAnsi="Aptos" w:cs="Aptos" w:eastAsia="Aptos"/>
          <w:b/>
          <w:i w:val="0"/>
          <w:color w:val="35506B"/>
          <w:sz w:val="42"/>
        </w:rPr>
        <w:t>Projeto de Lei n.º 780/XVII/2.ª (PAN)</w:t>
      </w:r>
    </w:p>
    <w:p>
      <w:pPr>
        <w:spacing w:before="0" w:after="200" w:line="293" w:lineRule="auto"/>
      </w:pPr>
      <w:r>
        <w:rPr>
          <w:rFonts w:ascii="Aptos" w:hAnsi="Aptos" w:cs="Aptos" w:eastAsia="Aptos"/>
          <w:b w:val="0"/>
          <w:i w:val="0"/>
          <w:color w:val="5C7891"/>
          <w:sz w:val="22"/>
        </w:rPr>
        <w:t>Criminaliza a prática da zoofilia reforçando a proteção animal e a tutela penal e contraordenacional — parecer técnico</w:t>
      </w:r>
    </w:p>
    <w:p>
      <w:pPr>
        <w:pBdr>
          <w:bottom w:val="single" w:sz="8" w:space="1" w:color="A9C2D8"/>
        </w:pBdr>
        <w:spacing w:before="0" w:after="120" w:line="40" w:lineRule="exact"/>
      </w:pPr>
    </w:p>
    <w:p>
      <w:pPr>
        <w:spacing w:before="0" w:after="280" w:line="293" w:lineRule="auto"/>
      </w:pPr>
      <w:r>
        <w:rPr>
          <w:rFonts w:ascii="Aptos" w:hAnsi="Aptos" w:cs="Aptos" w:eastAsia="Aptos"/>
          <w:b w:val="0"/>
          <w:i w:val="0"/>
          <w:color w:val="7C8894"/>
          <w:sz w:val="17"/>
        </w:rPr>
        <w:t>Divisão com competência em animais de companhia · Processo n.º ____ · Data ____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C9D2DA"/>
              <w:bottom w:val="nil"/>
              <w:right w:val="nil"/>
            </w:tcBorders>
            <w:shd w:val="clear" w:color="auto" w:fill="F6F7F8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Objeto.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 Pronúncia sobre o Projeto de Lei n.º 780/XVII/2.ª, apresentado em 22 de setembro de 2026, que altera o artigo 387.º do Código Penal e adita a alínea h) ao n.º 3 do artigo 1.º da Lei n.º 92/95, de 12 de setembro.</w:t>
            </w:r>
          </w:p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Âmbito da pronúncia.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 O presente parecer incide sobre os animais de companhia, matéria da competência desta divisão. As observações relativas às normas gerais e às demais espécies são formuladas a título de indicação, sem prejuízo da pronúncia das unidades competentes.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8"/>
              </w:rPr>
              <w:t>Sentido.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8"/>
              </w:rPr>
              <w:t xml:space="preserve"> Favorável, condicionado à correção das insuficiências identificadas no ponto 5.1.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1.  </w:t>
      </w:r>
      <w:r>
        <w:rPr>
          <w:rFonts w:ascii="Aptos" w:hAnsi="Aptos" w:cs="Aptos" w:eastAsia="Aptos"/>
          <w:b/>
          <w:i w:val="0"/>
          <w:color w:val="35506B"/>
          <w:sz w:val="27"/>
        </w:rPr>
        <w:t>O que o projeto dispõe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Código Penal.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n.º 3 do artigo 387.º passa a comportar duas alíneas, sob o elemento comum «sem motivo legítimo»: a al. a) reproduz o crime de maus tratos vigente; a al. b) acrescenta «Ofender sexualmente um animal de companhia através de cópula, coito anal, coito oral ou a introdução vaginal, anal ou oral de partes do corpo ou de objetos». Moldura inalterada — prisão de 6 meses a 1 ano ou multa de 60 a 120 dias.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Lei n.º 92/95.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Adita-se a al. h) ao n.º 3 do artigo 1.º, com fórmula equivalente mas referida a «animais», sem qualificação de espécie ou afetação.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Note-se, para o que segue: a conduta sexual passa a ser punível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sem dependência da prova de dor, sofrimento ou lesão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>. É este o efeito útil da iniciativa, e é o que a legislação vigente não assegura.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2.  </w:t>
      </w:r>
      <w:r>
        <w:rPr>
          <w:rFonts w:ascii="Aptos" w:hAnsi="Aptos" w:cs="Aptos" w:eastAsia="Aptos"/>
          <w:b/>
          <w:i w:val="0"/>
          <w:color w:val="35506B"/>
          <w:sz w:val="27"/>
        </w:rPr>
        <w:t>Enquadramento vigente: o que cada norma exige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lacuna não se demonstra por argumento, demonstra-se por confronto. O quadro seguinte reúne as normas hoje mobilizáveis e o pressuposto que cada uma exige.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2608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Norma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Conduta abrangida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Pressuposto exigido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N.º 1 do art.º 387.º do Código Penal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Morte de animal de companhia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Morte consumada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N.º 3 do art.º 387.º do Código Penal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«infligir dor, sofrimento ou quaisquer outros maus tratos físicos»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Resultado provado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 — dor, sofrimento ou maus tratos físicos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N.ºs 4 e 5 do art.º 387.º do Código Penal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Agravação, incluindo quando o crime seja determinado «para excitação»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Pressupõe o crime-base do n.º 3 provado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N.º 1 do art.º 1.º da Lei n.º 92/95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«violências injustificadas»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Morte,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ou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 sofrimento cruel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e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 prolongado,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ou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 graves lesões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Al. a) do n.º 3 do art.º 1.º da Lei n.º 92/95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«actuações que […] ele seja obviamente incapaz de realizar ou que estejam obviamente para além das suas possibilidades»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Juízo de incapacidade manifesta; fora de emergência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Al. e) do n.º 3 do art.º 1.º da Lei n.º 92/95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Utilização em «filmagens» e atividades semelhantes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«dor ou sofrimentos consideráveis»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Art.º 6.º do Decreto-Lei n.º 276/2001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Dever especial de cuidado do detentor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Sem sanção quando o perigo recaia sobre o próprio animal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 xml:space="preserve"> (ver ponto 3)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N.º 3 do art.º 1305.º-A do Código Civil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Limite ao direito de propriedade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Maus tratos «que resultem em sofrimento injustificado, abandono ou morte»; norma civil, não sancionatória</w:t>
            </w:r>
          </w:p>
        </w:tc>
      </w:tr>
      <w:tr>
        <w:trPr>
          <w:cantSplit/>
        </w:trPr>
        <w:tc>
          <w:tcPr>
            <w:tcW w:type="dxa" w:w="2608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Art.º 212.º do Código Penal (dano)</w:t>
            </w:r>
          </w:p>
        </w:tc>
        <w:tc>
          <w:tcPr>
            <w:tcW w:type="dxa" w:w="3402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Via utilizada na prática</w:t>
            </w:r>
          </w:p>
        </w:tc>
        <w:tc>
          <w:tcPr>
            <w:tcW w:type="dxa" w:w="3175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Tutela o património do proprietário; inaplicável se o agente for o detentor</w:t>
            </w:r>
          </w:p>
        </w:tc>
      </w:tr>
    </w:tbl>
    <w:p>
      <w:pPr>
        <w:spacing w:before="4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3.  </w:t>
      </w:r>
      <w:r>
        <w:rPr>
          <w:rFonts w:ascii="Aptos" w:hAnsi="Aptos" w:cs="Aptos" w:eastAsia="Aptos"/>
          <w:b/>
          <w:i w:val="0"/>
          <w:color w:val="35506B"/>
          <w:sz w:val="27"/>
        </w:rPr>
        <w:t>A lacuna que a iniciativa supre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Toda a tutela vigente é de resultado.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Nenhuma das normas do quadro pune o acto em si. Exigem morte, lesão grave, sofrimento cruel e prolongado, dor ou sofrimento consideráveis, perigo para terceiro, ou dano patrimonial. A ofensa sexual que não deixe marca física demonstrável — que a literatura pericial indica ser frequente — não encontra tipo.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O dever de cuidado não está sancionado quando o perigo recai sobre o próprio animal.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artigo 6.º do Decreto-Lei n.º 276/2001 impõe ao detentor o dever de cuidar «de forma a não pôr em causa os parâmetros de bem-estar». Mas as contraordenações que o sancionam são apenas duas: a al. j) do n.º 1 do artigo 68.º, quando a violação «crie perigo para a vida ou integridade física de outro animal», e a al. b) do n.º 2, quando crie perigo «de outrem». </w:t>
      </w:r>
      <w:r>
        <w:rPr>
          <w:rFonts w:ascii="Aptos" w:hAnsi="Aptos" w:cs="Aptos" w:eastAsia="Aptos"/>
          <w:b/>
          <w:i w:val="0"/>
          <w:color w:val="2B2B2B"/>
          <w:sz w:val="20"/>
        </w:rPr>
        <w:t>Violar o dever de cuidado pondo em perigo o próprio animal não é contraordenação.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É precisamente aí que a ofensa sexual se situa: não põe em perigo terceiro nem outro animal.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A via do dano é estruturalmente inadequada.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crime de dano tutela o património do proprietário, não o animal, e é inaplicável quando o agente seja o próprio detentor — que é a hipótese mais frequente.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4.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O ordenamento já qualificou o motivo sexual como especialmente censurável.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al. c) do n.º 5 do artigo 387.º inclui, entre as circunstâncias reveladoras de especial censurabilidade ou perversidade, a de o crime «ser determinado pela avidez, pelo prazer de matar ou de causar sofrimento, </w:t>
      </w:r>
      <w:r>
        <w:rPr>
          <w:rFonts w:ascii="Aptos" w:hAnsi="Aptos" w:cs="Aptos" w:eastAsia="Aptos"/>
          <w:b/>
          <w:i w:val="0"/>
          <w:color w:val="2B2B2B"/>
          <w:sz w:val="20"/>
        </w:rPr>
        <w:t>para excitação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ou por qualquer motivo torpe ou fútil». A agravante existe; falta o tipo que ela pressupõe.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Em termos técnicos: a iniciativa não cria proteção nova onde já existia.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Desloca o momento da tutela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— do resultado para o acto. É essa deslocação que responde à insuficiência descrita, e é ela que confere à iniciativa utilidade normativa autónoma.</w:t>
            </w:r>
          </w:p>
        </w:tc>
      </w:tr>
    </w:tbl>
    <w:p>
      <w:pPr>
        <w:spacing w:before="0" w:after="180" w:line="293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Observação.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Não se toma posição sobre a opção de política criminal, que é do legislador. Constata-se apenas que a insuficiência apontada na exposição de motivos é verificável no articulado vigente, pelo confronto do ponto 2.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4.  </w:t>
      </w:r>
      <w:r>
        <w:rPr>
          <w:rFonts w:ascii="Aptos" w:hAnsi="Aptos" w:cs="Aptos" w:eastAsia="Aptos"/>
          <w:b/>
          <w:i w:val="0"/>
          <w:color w:val="35506B"/>
          <w:sz w:val="27"/>
        </w:rPr>
        <w:t>Dimensão higiossanitária e zoonótica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O parecer desta Direção-Geral não se esgota no bem-estar animal. A conduta em causa envolve contacto directo de mucosas genitais, oral e anal entre espécies, sem qualquer barreira sanitária, e é, nessa medida, matéria de saúde pública veterinária.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Via de transmissão bidirecional.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O contacto de mucosas com secreções genitais e fluidos orgânicos constitui via de transmissão para agentes zoonóticos excretados por essas vias, designadamente *Brucella* spp. e *Leptospira* spp. Está documentado o isolamento de *Brucella* em urina, sémen e outros fluidos orgânicos, e descrita a transmissão sexual da brucelose entre humanos (Li *et al.*, 2020).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Associação epidemiológica documentada.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Um estudo caso-controlo multicêntrico com 118 doentes com carcinoma do pénis e 374 controlos apurou prevalência de contacto sexual com animais de </w:t>
      </w:r>
      <w:r>
        <w:rPr>
          <w:rFonts w:ascii="Aptos" w:hAnsi="Aptos" w:cs="Aptos" w:eastAsia="Aptos"/>
          <w:b/>
          <w:i w:val="0"/>
          <w:color w:val="2B2B2B"/>
          <w:sz w:val="20"/>
        </w:rPr>
        <w:t>44,9% nos casos contra 31,6% nos controlos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(p&lt;0,008), com excesso significativo de doenças venéreas no grupo exposto (p&lt;0,001), identificando a exposição como factor de risco independente em análise multivariada (Zequi *et al.*, 2012).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/>
          <w:i w:val="0"/>
          <w:color w:val="2B2B2B"/>
          <w:sz w:val="20"/>
        </w:rPr>
        <w:t>Consequência para a fiscalização.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A conduta não é apenas questão de bem-estar: é factor de risco higiossanitário que justifica intervenção da autoridade sanitária veterinária independente da prova de sofrimento do animal. Esta dimensão é a que melhor sustenta, no plano técnico, a punibilidade do acto em si — e não está invocada na exposição de motivos do projeto.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Observação.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Sugere-se que esta dimensão seja levada à fundamentação da iniciativa. Confere-lhe apoio técnico que a fundamentação actual, centrada no bem-estar e no direito comparado, não mobiliza, e reforça a competência das autoridades sanitárias na deteção e comunicação destas situações.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0" w:line="293" w:lineRule="auto"/>
      </w:pPr>
      <w:r>
        <w:br w:type="page"/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5.  </w:t>
      </w:r>
      <w:r>
        <w:rPr>
          <w:rFonts w:ascii="Aptos" w:hAnsi="Aptos" w:cs="Aptos" w:eastAsia="Aptos"/>
          <w:b/>
          <w:i w:val="0"/>
          <w:color w:val="35506B"/>
          <w:sz w:val="27"/>
        </w:rPr>
        <w:t>Insuficiências da redação proposta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5.1  </w:t>
      </w:r>
      <w:r>
        <w:rPr>
          <w:rFonts w:ascii="Aptos" w:hAnsi="Aptos" w:cs="Aptos" w:eastAsia="Aptos"/>
          <w:b/>
          <w:i w:val="0"/>
          <w:color w:val="35506B"/>
          <w:sz w:val="21"/>
        </w:rPr>
        <w:t>Sobreinclusão sobre actos médico-veterinários e zootécnicos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É a única insuficiência que esta Direção-Geral considera </w:t>
            </w: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premente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>, e respeita exclusivamente à norma proposta para a Lei n.º 92/95.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 al. h) proposta descreve, entre as condutas proibidas, «a introdução vaginal, anal ou oral de partes do corpo ou de objetos». Diferentemente da norma penal — que subordina ambas as alíneas ao elemento «sem motivo legítimo» —, a norma contraordenacional </w:t>
      </w:r>
      <w:r>
        <w:rPr>
          <w:rFonts w:ascii="Aptos" w:hAnsi="Aptos" w:cs="Aptos" w:eastAsia="Aptos"/>
          <w:b/>
          <w:i w:val="0"/>
          <w:color w:val="2B2B2B"/>
          <w:sz w:val="20"/>
        </w:rPr>
        <w:t>não comporta qualquer elemento limitador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A9C2D8"/>
              <w:bottom w:val="nil"/>
              <w:right w:val="nil"/>
            </w:tcBorders>
            <w:shd w:val="clear" w:color="auto" w:fill="F3F6F9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/>
                <w:color w:val="2B2B2B"/>
                <w:sz w:val="19"/>
              </w:rPr>
              <w:t>3 — São também proibidos os actos consistentes em:</w:t>
            </w:r>
          </w:p>
          <w:p>
            <w:pPr>
              <w:spacing w:before="120" w:after="0" w:line="293" w:lineRule="auto"/>
            </w:pPr>
            <w:r>
              <w:rPr>
                <w:rFonts w:ascii="Aptos" w:hAnsi="Aptos" w:cs="Aptos" w:eastAsia="Aptos"/>
                <w:b w:val="0"/>
                <w:i w:val="0"/>
                <w:color w:val="7C8894"/>
                <w:sz w:val="15"/>
              </w:rPr>
              <w:t>Corpo do n.º 3 do artigo 1.º da Lei n.º 92/95, de 12 de setembro</w:t>
            </w:r>
          </w:p>
        </w:tc>
      </w:tr>
    </w:tbl>
    <w:p>
      <w:pPr>
        <w:spacing w:before="0" w:after="180" w:line="293" w:lineRule="auto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O n.º 1 do mesmo artigo não supre a falta. Aquele número é autodefinido — «considerando-se como tais os actos consistentes em, sem necessidade, se infligir a morte, o sofrimento cruel e prolongado ou graves lesões» —, e o n.º 3 abre com «São </w:t>
      </w:r>
      <w:r>
        <w:rPr>
          <w:rFonts w:ascii="Aptos" w:hAnsi="Aptos" w:cs="Aptos" w:eastAsia="Aptos"/>
          <w:b/>
          <w:i w:val="0"/>
          <w:color w:val="2B2B2B"/>
          <w:sz w:val="20"/>
        </w:rPr>
        <w:t>também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proibidos», acrescentando e não especificando. A demonstração é interna ao artigo: as alíneas a), b), c), e) e f) do n.º 3 carregam limitadores próprios — «em casos que não sejam de emergência», «com excepção dos usados na arte equestre e nas touradas autorizadas por lei», «salvo experiência científica de comprovada necessidade», «salvo na prática da caça». Se o n.º 1 se transmitisse ao n.º 3, todos seriam redundantes. As alíneas sem limitador — d) e g) — são precisamente as que descrevem condutas que não admitem motivo legítimo.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Na letra da norma proposta ficam, pois, abrangidos actos correntes da prática clínica e zootécnica: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termometria rectal;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palpação transrectal para diagnóstico de gestação;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ecografia transrectal; vaginoscopia; citologia vaginal;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inseminação artificial e transferência de embriões;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colheita de sémen por vagina artificial ou eletroejaculação;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sondagem nasogástrica ou oral e entubação endotraqueal;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enemas, administração de supositórios, desimpactação rectal, cateterização uretral;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exploração obstétrica e assistência ao parto distócico.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Cumpre, porém, delimitar o alcance real da objeção. O artigo 32.º do Regime Geral das Contra-Ordenações manda aplicar subsidiariamente ao regime substantivo as normas do Código Penal, pelo que operam as causas de exclusão da ilicitude do seu artigo 31.º. O acto praticado no exercício da atividade médico-veterinária, regulada pelo Estatuto da Ordem dos Médicos Veterinários, estaria justificado. </w:t>
      </w:r>
      <w:r>
        <w:rPr>
          <w:rFonts w:ascii="Aptos" w:hAnsi="Aptos" w:cs="Aptos" w:eastAsia="Aptos"/>
          <w:b/>
          <w:i w:val="0"/>
          <w:color w:val="2B2B2B"/>
          <w:sz w:val="20"/>
        </w:rPr>
        <w:t>Não se sustenta, portanto, que um médico veterinário viesse a ser sancionado.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D8C9AE"/>
              <w:bottom w:val="nil"/>
              <w:right w:val="nil"/>
            </w:tcBorders>
            <w:shd w:val="clear" w:color="auto" w:fill="F7F4ED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>A objeção é de estrutura da norma, não de resultado final:</w:t>
            </w:r>
          </w:p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Primeira.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A norma fica sobreinclusiva na sua face, e a legitimidade do acto passa a discutir-se por causa de justificação não escrita. Inverte-se a estrutura devida: a conduta é típica e a licitude alega-se depois.</w:t>
            </w:r>
          </w:p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Segunda.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O artigo 11.º da Lei n.º 92/95 atribui a fiscalização ao ICNF, a esta Direção-Geral, aos médicos veterinários municipais, às câmaras municipais, à ASAE, à GNR, à PSP, às polícias municipais e às restantes autoridades policiais. Uma norma cuja aplicação correcta depende de apreciação de causa de justificação não escrita é inadequada a este universo de entidades.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20"/>
              </w:rPr>
              <w:t>Terceira.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20"/>
              </w:rPr>
              <w:t xml:space="preserve"> Cria-se assimetria injustificada dentro do mesmo acto legislativo: a norma penal escreve «sem motivo legítimo»; a contraordenacional nada escreve. E o efeito é mais gravoso onde a prática legítima é mais frequente, porquanto a contraordenação alcança todas as espécies, incluindo os animais de produção, em que a palpação transrectal e a inseminação artificial são prática diária.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5.2  </w:t>
      </w:r>
      <w:r>
        <w:rPr>
          <w:rFonts w:ascii="Aptos" w:hAnsi="Aptos" w:cs="Aptos" w:eastAsia="Aptos"/>
          <w:b/>
          <w:i w:val="0"/>
          <w:color w:val="35506B"/>
          <w:sz w:val="21"/>
        </w:rPr>
        <w:t>Taxatividade da enumeração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enumeração é fechada — «através de cópula, coito anal, coito oral ou a introdução vaginal, anal ou oral de partes do corpo ou de objetos». Ficam fora, entre outras, a masturbação do animal, o contacto oral-genital sem coito e a imposição de monta a animal sobre pessoa ou sobre outro animal, incluindo quando a desproporção de porte seja susceptível de causar lesões. A exposição de motivos refere expressamente «masturbação, contacto oral-genital», que o articulado depois não abrange.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5.3  </w:t>
      </w:r>
      <w:r>
        <w:rPr>
          <w:rFonts w:ascii="Aptos" w:hAnsi="Aptos" w:cs="Aptos" w:eastAsia="Aptos"/>
          <w:b/>
          <w:i w:val="0"/>
          <w:color w:val="35506B"/>
          <w:sz w:val="21"/>
        </w:rPr>
        <w:t>Conteúdos audiovisuais anunciados e não articulados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exposição de motivos declara pretender criminalizar «a produção e difusão de conteúdos que representem a prática de crimes contra animais». O articulado não contém disposição sobre a matéria. Assinala-se que a al. e) do n.º 3 do artigo 1.º da Lei n.º 92/95 já proíbe a utilização de animais em «filmagens» de que resultem «dor ou sofrimentos consideráveis» — o que cobre parte da produção e nada da difusão.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5.4  </w:t>
      </w:r>
      <w:r>
        <w:rPr>
          <w:rFonts w:ascii="Aptos" w:hAnsi="Aptos" w:cs="Aptos" w:eastAsia="Aptos"/>
          <w:b/>
          <w:i w:val="0"/>
          <w:color w:val="35506B"/>
          <w:sz w:val="21"/>
        </w:rPr>
        <w:t>Dever de comunicação médico-veterinária — questão a ponderar</w:t>
      </w: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A fundamentação da iniciativa assenta, em parte relevante, no papel da medicina veterinária forense na deteção, documentação e comunicação destas situações. O articulado não prevê, contudo, dever de comunicação, protocolo pericial ou via de articulação com esta Direção-Geral.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8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Questão que se suscita, sem juízo prévio.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Deverá a iniciativa prever dever de comunicação a cargo do médico veterinário que, no exercício da sua atividade, detete indícios compatíveis com ofensa sexual? E, em caso afirmativo, como se articula esse dever com o sigilo profissional consagrado no Código Deontológico Médico-Veterinário, e a quem deve a comunicação ser dirigida?</w:t>
            </w:r>
          </w:p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>A questão excede o objeto do projeto e envolve matéria estatutária da Ordem dos Médicos Veterinários, pelo que se deixa à consideração, sugerindo-se, se for entendido pertinente, a audição daquela entidade.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6.  </w:t>
      </w:r>
      <w:r>
        <w:rPr>
          <w:rFonts w:ascii="Aptos" w:hAnsi="Aptos" w:cs="Aptos" w:eastAsia="Aptos"/>
          <w:b/>
          <w:i w:val="0"/>
          <w:color w:val="35506B"/>
          <w:sz w:val="27"/>
        </w:rPr>
        <w:t>Alterações prementes, à consideração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40" w:line="293" w:lineRule="auto"/>
        <w:jc w:val="both"/>
      </w:pPr>
      <w:r>
        <w:rPr>
          <w:rFonts w:ascii="Aptos" w:hAnsi="Aptos" w:cs="Aptos" w:eastAsia="Aptos"/>
          <w:b w:val="0"/>
          <w:i w:val="0"/>
          <w:color w:val="2B2B2B"/>
          <w:sz w:val="20"/>
        </w:rPr>
        <w:t>Uma só correção é considerada premente. As restantes são de aperfeiçoamento e ficam à consideração superior.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  <w:tblHeader/>
        </w:trPr>
        <w:tc>
          <w:tcPr>
            <w:tcW w:type="dxa" w:w="1020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Ponto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Correção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8" w:space="0" w:color="A9C2D8"/>
              <w:right w:val="nil"/>
            </w:tcBorders>
            <w:shd w:val="clear" w:color="auto" w:fill="E9EFF4"/>
            <w:tcMar>
              <w:top w:w="90" w:type="dxa"/>
              <w:bottom w:w="90" w:type="dxa"/>
              <w:left w:w="120" w:type="dxa"/>
              <w:right w:w="120" w:type="dxa"/>
            </w:tcMar>
          </w:tcPr>
          <w:p>
            <w:pPr>
              <w:spacing w:before="0" w:after="0" w:line="293" w:lineRule="auto"/>
            </w:pPr>
            <w:r>
              <w:rPr>
                <w:rFonts w:ascii="Aptos" w:hAnsi="Aptos" w:cs="Aptos" w:eastAsia="Aptos"/>
                <w:b/>
                <w:i w:val="0"/>
                <w:color w:val="35506B"/>
                <w:sz w:val="17"/>
              </w:rPr>
              <w:t>Grau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5.1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Introdução, na al. h) proposta para a Lei n.º 92/95, de elemento que restrinja a conduta à finalidade sexual — ou, em alternativa, de ressalva expressa dos actos médico-veterinários e zootécnicos legalmente praticados. A primeira solução é preferível: com elemento finalístico, o acto clínico não chega a preencher a norma, dispensando ressalva e a sua actualização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7"/>
              </w:rPr>
              <w:t>Premente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5.2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Conversão da enumeração em exemplificativa e previsão da conduta de imposição de monta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Aperfeiçoamento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5.3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Articulação da disposição sobre conteúdos, ou supressão do anúncio na exposição de motivos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Aperfeiçoamento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5.4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Ponderação de dever de comunicação médico-veterinária, com audição da Ordem dos Médicos Veterinários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FFFFF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 ponderar</w:t>
            </w:r>
          </w:p>
        </w:tc>
      </w:tr>
      <w:tr>
        <w:trPr>
          <w:cantSplit/>
        </w:trPr>
        <w:tc>
          <w:tcPr>
            <w:tcW w:type="dxa" w:w="1020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4.</w:t>
            </w:r>
          </w:p>
        </w:tc>
        <w:tc>
          <w:tcPr>
            <w:tcW w:type="dxa" w:w="6576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Aditamento da fundamentação higiossanitária e zoonótica à exposição de motivos</w:t>
            </w:r>
          </w:p>
        </w:tc>
        <w:tc>
          <w:tcPr>
            <w:tcW w:type="dxa" w:w="1587"/>
            <w:tcBorders>
              <w:top w:val="nil"/>
              <w:left w:val="nil"/>
              <w:bottom w:val="single" w:sz="4" w:space="0" w:color="D7DEE5"/>
              <w:right w:val="nil"/>
            </w:tcBorders>
            <w:shd w:val="clear" w:color="auto" w:fill="F8FAFC"/>
            <w:tcMar>
              <w:top w:w="85" w:type="dxa"/>
              <w:bottom w:w="85" w:type="dxa"/>
              <w:left w:w="120" w:type="dxa"/>
              <w:right w:w="120" w:type="dxa"/>
            </w:tcMar>
          </w:tcPr>
          <w:p>
            <w:pPr>
              <w:spacing w:before="0" w:after="0" w:line="274" w:lineRule="auto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7"/>
              </w:rPr>
              <w:t>A ponderar</w:t>
            </w:r>
          </w:p>
        </w:tc>
      </w:tr>
    </w:tbl>
    <w:p>
      <w:pPr>
        <w:spacing w:before="40" w:after="180" w:line="293" w:lineRule="auto"/>
      </w:pP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/>
                <w:i w:val="0"/>
                <w:color w:val="2B2B2B"/>
                <w:sz w:val="19"/>
              </w:rPr>
              <w:t>Nota de âmbito.</w:t>
            </w: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 xml:space="preserve"> Assinala-se, a título de indicação e sem prejuízo da pronúncia das unidades competentes, que a norma penal proposta se insere no Título VI do Código Penal, cujo artigo 389.º, n.º 2, exclui do conceito de animal de companhia os factos relacionados com a utilização para fins de exploração agrícola, pecuária ou agroindustrial. Em consequência, a tutela penal não abrangerá as espécies pecuárias, subsistindo para estas apenas a tutela contraordenacional da Lei n.º 92/95.</w:t>
            </w:r>
          </w:p>
        </w:tc>
      </w:tr>
    </w:tbl>
    <w:p>
      <w:pPr>
        <w:spacing w:before="0" w:after="180" w:line="293" w:lineRule="auto"/>
      </w:pP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7.  </w:t>
      </w:r>
      <w:r>
        <w:rPr>
          <w:rFonts w:ascii="Aptos" w:hAnsi="Aptos" w:cs="Aptos" w:eastAsia="Aptos"/>
          <w:b/>
          <w:i w:val="0"/>
          <w:color w:val="35506B"/>
          <w:sz w:val="27"/>
        </w:rPr>
        <w:t>Conclusão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1.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 insuficiência invocada na exposição de motivos </w:t>
      </w:r>
      <w:r>
        <w:rPr>
          <w:rFonts w:ascii="Aptos" w:hAnsi="Aptos" w:cs="Aptos" w:eastAsia="Aptos"/>
          <w:b/>
          <w:i w:val="0"/>
          <w:color w:val="2B2B2B"/>
          <w:sz w:val="20"/>
        </w:rPr>
        <w:t>verifica-se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: a tutela vigente é toda de resultado, e a violação do dever de cuidado que ponha em perigo o próprio animal não é contraordenável.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2.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 iniciativa </w:t>
      </w:r>
      <w:r>
        <w:rPr>
          <w:rFonts w:ascii="Aptos" w:hAnsi="Aptos" w:cs="Aptos" w:eastAsia="Aptos"/>
          <w:b/>
          <w:i w:val="0"/>
          <w:color w:val="2B2B2B"/>
          <w:sz w:val="20"/>
        </w:rPr>
        <w:t>tem utilidade normativa autónoma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, por deslocar a tutela do resultado para o acto.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3.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 conduta em causa apresenta </w:t>
      </w:r>
      <w:r>
        <w:rPr>
          <w:rFonts w:ascii="Aptos" w:hAnsi="Aptos" w:cs="Aptos" w:eastAsia="Aptos"/>
          <w:b/>
          <w:i w:val="0"/>
          <w:color w:val="2B2B2B"/>
          <w:sz w:val="20"/>
        </w:rPr>
        <w:t>relevância higiossanitária e zoonótica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 documentada, que sustenta a intervenção da autoridade sanitária veterinária e que a fundamentação do projeto não mobiliza.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4.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A redação proposta para a Lei n.º 92/95 é </w:t>
      </w:r>
      <w:r>
        <w:rPr>
          <w:rFonts w:ascii="Aptos" w:hAnsi="Aptos" w:cs="Aptos" w:eastAsia="Aptos"/>
          <w:b/>
          <w:i w:val="0"/>
          <w:color w:val="2B2B2B"/>
          <w:sz w:val="20"/>
        </w:rPr>
        <w:t>sobreinclusiva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 xml:space="preserve">, abrangendo na sua letra actos correntes da prática clínica e zootécnica. A correção deste ponto é </w:t>
      </w:r>
      <w:r>
        <w:rPr>
          <w:rFonts w:ascii="Aptos" w:hAnsi="Aptos" w:cs="Aptos" w:eastAsia="Aptos"/>
          <w:b/>
          <w:i w:val="0"/>
          <w:color w:val="2B2B2B"/>
          <w:sz w:val="20"/>
        </w:rPr>
        <w:t>premente</w:t>
      </w:r>
      <w:r>
        <w:rPr>
          <w:rFonts w:ascii="Aptos" w:hAnsi="Aptos" w:cs="Aptos" w:eastAsia="Aptos"/>
          <w:b w:val="0"/>
          <w:i w:val="0"/>
          <w:color w:val="2B2B2B"/>
          <w:sz w:val="20"/>
        </w:rPr>
        <w:t>.</w:t>
      </w:r>
    </w:p>
    <w:p>
      <w:pPr>
        <w:spacing w:before="0" w:after="100" w:line="293" w:lineRule="auto"/>
        <w:ind w:left="408" w:hanging="408"/>
        <w:jc w:val="both"/>
      </w:pPr>
      <w:r>
        <w:rPr>
          <w:rFonts w:ascii="Aptos" w:hAnsi="Aptos" w:cs="Aptos" w:eastAsia="Aptos"/>
          <w:b/>
          <w:i w:val="0"/>
          <w:color w:val="5C7891"/>
          <w:sz w:val="20"/>
        </w:rPr>
        <w:t>5.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Nada mais se opõe, em termos técnicos, à aprovação da iniciativa.</w:t>
      </w:r>
    </w:p>
    <w:p>
      <w:pPr>
        <w:keepNext/>
        <w:spacing w:before="360" w:after="40" w:line="293" w:lineRule="auto"/>
      </w:pPr>
      <w:r>
        <w:rPr>
          <w:rFonts w:ascii="Aptos" w:hAnsi="Aptos" w:cs="Aptos" w:eastAsia="Aptos"/>
          <w:b/>
          <w:i w:val="0"/>
          <w:color w:val="5C7891"/>
          <w:sz w:val="27"/>
        </w:rPr>
        <w:t xml:space="preserve">8.  </w:t>
      </w:r>
      <w:r>
        <w:rPr>
          <w:rFonts w:ascii="Aptos" w:hAnsi="Aptos" w:cs="Aptos" w:eastAsia="Aptos"/>
          <w:b/>
          <w:i w:val="0"/>
          <w:color w:val="35506B"/>
          <w:sz w:val="27"/>
        </w:rPr>
        <w:t>Referências</w:t>
      </w:r>
    </w:p>
    <w:p>
      <w:pPr>
        <w:keepNext/>
        <w:pBdr>
          <w:bottom w:val="single" w:sz="4" w:space="1" w:color="D7DEE5"/>
        </w:pBdr>
        <w:spacing w:before="0" w:after="160" w:line="40" w:lineRule="exact"/>
      </w:pP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8.1  </w:t>
      </w:r>
      <w:r>
        <w:rPr>
          <w:rFonts w:ascii="Aptos" w:hAnsi="Aptos" w:cs="Aptos" w:eastAsia="Aptos"/>
          <w:b/>
          <w:i w:val="0"/>
          <w:color w:val="35506B"/>
          <w:sz w:val="21"/>
        </w:rPr>
        <w:t>Legislação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Código Penal, aprovado pelo Decreto-Lei n.º 48/95, de 15 de março — artigos 31.º, 212.º, 387.º, 388.º-A e 389.º, este último na redação da Lei n.º 39/2020, de 18 de agosto.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Lei n.º 92/95, de 12 de setembro — artigos 1.º, 11.º, 12.º e 13.º, os três últimos aditados pela Lei n.º 6/2022, de 7 de janeiro.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Decreto-Lei n.º 276/2001, de 17 de outubro — artigos 6.º e 68.º.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Código Civil — artigos 201.º-B e 1305.º-A, aditados pela Lei n.º 8/2017, de 3 de março.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Regime Geral das Contra-Ordenações, aprovado pelo Decreto-Lei n.º 433/82, de 27 de outubro — artigo 32.º.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Estatuto da Ordem dos Médicos Veterinários, aprovado pelo Decreto-Lei n.º 368/91, de 4 de outubro, alterado pelas Leis n.ºs 117/97, de 4 de novembro, e 125/2015, de 3 de setembro.</w:t>
      </w:r>
    </w:p>
    <w:p>
      <w:pPr>
        <w:keepNext/>
        <w:spacing w:before="260" w:after="80" w:line="293" w:lineRule="auto"/>
      </w:pPr>
      <w:r>
        <w:rPr>
          <w:rFonts w:ascii="Aptos" w:hAnsi="Aptos" w:cs="Aptos" w:eastAsia="Aptos"/>
          <w:b/>
          <w:i w:val="0"/>
          <w:color w:val="7C8894"/>
          <w:sz w:val="21"/>
        </w:rPr>
        <w:t xml:space="preserve">8.2  </w:t>
      </w:r>
      <w:r>
        <w:rPr>
          <w:rFonts w:ascii="Aptos" w:hAnsi="Aptos" w:cs="Aptos" w:eastAsia="Aptos"/>
          <w:b/>
          <w:i w:val="0"/>
          <w:color w:val="35506B"/>
          <w:sz w:val="21"/>
        </w:rPr>
        <w:t>Literatura científica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ZEQUI, S. C., GUIMARÃES, G. C., FONSECA, F. P., *et al.* — «Sex with Animals (SWA): Behavioral Characteristics and Possible Association with Penile Cancer. A Multicenter Study». *The Journal of Sexual Medicine*, 2012, 9 (7), pp. 1860-1867. DOI: 10.1111/j.1743-6109.2011.02512.x</w:t>
      </w:r>
    </w:p>
    <w:p>
      <w:pPr>
        <w:spacing w:before="0" w:after="80" w:line="293" w:lineRule="auto"/>
        <w:ind w:left="351" w:hanging="351"/>
        <w:jc w:val="both"/>
      </w:pPr>
      <w:r>
        <w:rPr>
          <w:rFonts w:ascii="Aptos" w:hAnsi="Aptos" w:cs="Aptos" w:eastAsia="Aptos"/>
          <w:b w:val="0"/>
          <w:i w:val="0"/>
          <w:color w:val="7C8894"/>
          <w:sz w:val="20"/>
        </w:rPr>
        <w:t>—</w:t>
        <w:tab/>
      </w:r>
      <w:r>
        <w:rPr>
          <w:rFonts w:ascii="Aptos" w:hAnsi="Aptos" w:cs="Aptos" w:eastAsia="Aptos"/>
          <w:b w:val="0"/>
          <w:i w:val="0"/>
          <w:color w:val="2B2B2B"/>
          <w:sz w:val="20"/>
        </w:rPr>
        <w:t>LI, N., YU, F., PENG, F., ZHANG, X., JIA, B. — «Probable sexual transmission of brucellosis». *IDCases*, 2020, 21, e00871. DOI: 10.1016/j.idcr.2020.e00871 · PMID: 32642429</w:t>
      </w:r>
    </w:p>
    <w:tbl>
      <w:tblPr>
        <w:tblW w:type="auto" w:w="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1"/>
            <w:tcBorders>
              <w:top w:val="nil"/>
              <w:left w:val="single" w:sz="18" w:space="0" w:color="E0BEBA"/>
              <w:bottom w:val="nil"/>
              <w:right w:val="nil"/>
            </w:tcBorders>
            <w:shd w:val="clear" w:color="auto" w:fill="FAF2F1"/>
            <w:tcMar>
              <w:top w:w="130" w:type="dxa"/>
              <w:bottom w:w="130" w:type="dxa"/>
              <w:left w:w="200" w:type="dxa"/>
              <w:right w:w="180" w:type="dxa"/>
            </w:tcMar>
          </w:tcPr>
          <w:p>
            <w:pPr>
              <w:spacing w:before="0" w:after="0" w:line="293" w:lineRule="auto"/>
              <w:jc w:val="both"/>
            </w:pPr>
            <w:r>
              <w:rPr>
                <w:rFonts w:ascii="Aptos" w:hAnsi="Aptos" w:cs="Aptos" w:eastAsia="Aptos"/>
                <w:b w:val="0"/>
                <w:i w:val="0"/>
                <w:color w:val="2B2B2B"/>
                <w:sz w:val="19"/>
              </w:rPr>
              <w:t>Os textos legais foram conferidos nos respetivos números do Diário da República, e não em versões consolidadas de compiladores.</w:t>
            </w:r>
          </w:p>
        </w:tc>
      </w:tr>
    </w:tbl>
    <w:p>
      <w:pPr>
        <w:spacing w:before="0" w:after="180" w:line="293" w:lineRule="auto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91" w:left="1247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6"/>
      </w:rPr>
    </w:r>
    <w:fldSimple w:instr="PAGE">
      <w:r>
        <w:rPr>
          <w:sz w:val="16"/>
          <w:color w:val="7C8894"/>
        </w:rPr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93" w:lineRule="auto"/>
      <w:jc w:val="right"/>
    </w:pPr>
    <w:r>
      <w:rPr>
        <w:rFonts w:ascii="Aptos" w:hAnsi="Aptos" w:cs="Aptos" w:eastAsia="Aptos"/>
        <w:b w:val="0"/>
        <w:i w:val="0"/>
        <w:color w:val="7C8894"/>
        <w:sz w:val="15"/>
      </w:rPr>
      <w:t>Parecer · PL n.º 780/XVII/2.ª · ofensas sexuais contra animais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ptos" w:hAnsi="Aptos" w:cs="Aptos" w:eastAsia="Aptos"/>
      <w:color w:val="2B2B2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