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1.40</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Detenção em estabelecimentos (cap. IV)</w:t>
      </w:r>
    </w:p>
    <w:p>
      <w:pPr>
        <w:spacing w:after="0"/>
        <w:ind w:left="567"/>
      </w:pPr>
      <w:r>
        <w:rPr>
          <w:b w:val="0"/>
          <w:i w:val="0"/>
        </w:rPr>
        <w:t>E-01. Nada sobre animais de companhia em acidente grave ou catástrofe</w:t>
      </w:r>
    </w:p>
    <w:p>
      <w:pPr>
        <w:spacing w:after="0"/>
        <w:ind w:left="567"/>
      </w:pPr>
      <w:r>
        <w:rPr>
          <w:b w:val="0"/>
          <w:i w:val="0"/>
        </w:rPr>
        <w:t>E-02. O encerramento de estabelecimentos fica sem medida cautelar, sem regra para os animais e sem efeito no registo</w:t>
      </w:r>
    </w:p>
    <w:p>
      <w:pPr>
        <w:spacing w:after="40"/>
      </w:pPr>
    </w:p>
    <w:p>
      <w:pPr>
        <w:spacing w:after="40"/>
      </w:pPr>
      <w:r>
        <w:rPr>
          <w:b/>
          <w:i w:val="0"/>
        </w:rPr>
        <w:t>7. Gestão das populações animais (cap. X)</w:t>
      </w:r>
    </w:p>
    <w:p>
      <w:pPr>
        <w:spacing w:after="0"/>
        <w:ind w:left="567"/>
      </w:pPr>
      <w:r>
        <w:rPr>
          <w:b w:val="0"/>
          <w:i w:val="0"/>
        </w:rPr>
        <w:t>G-01. A recolha por razões de bem-estar passa da DGAV para as câmaras e o destino para o médico veterinário municipal</w:t>
      </w:r>
    </w:p>
    <w:p>
      <w:pPr>
        <w:spacing w:after="0"/>
        <w:ind w:left="567"/>
      </w:pPr>
      <w:r>
        <w:rPr>
          <w:b w:val="0"/>
          <w:i w:val="0"/>
        </w:rPr>
        <w:t>G-02. A presunção de abandono aos 15 dias não ressalva animais apreendidos nem animais socorridos em emergência</w:t>
      </w:r>
    </w:p>
    <w:p>
      <w:pPr>
        <w:spacing w:after="40"/>
      </w:pPr>
    </w:p>
    <w:p>
      <w:pPr>
        <w:spacing w:after="40"/>
      </w:pPr>
      <w:r>
        <w:rPr>
          <w:b/>
          <w:i w:val="0"/>
        </w:rPr>
        <w:t>8. Animais perigosos e potencialmente perigosos (cap. XIV)</w:t>
      </w:r>
    </w:p>
    <w:p>
      <w:pPr>
        <w:spacing w:after="0"/>
        <w:ind w:left="567"/>
      </w:pPr>
      <w:r>
        <w:rPr>
          <w:b w:val="0"/>
          <w:i w:val="0"/>
        </w:rPr>
        <w:t>D-01. Duas vias para retirar a classificação de perigoso, sem ligação entre elas</w:t>
      </w:r>
    </w:p>
    <w:p>
      <w:pPr>
        <w:spacing w:after="0"/>
        <w:ind w:left="567"/>
      </w:pPr>
      <w:r>
        <w:rPr>
          <w:b w:val="0"/>
          <w:i w:val="0"/>
        </w:rPr>
        <w:t>D-02. Associação titular de cão perigoso: falta a regra da licença e a adoção fica entre duas normas contrárias</w:t>
      </w:r>
    </w:p>
    <w:p>
      <w:pPr>
        <w:spacing w:after="0"/>
        <w:ind w:left="567"/>
      </w:pPr>
      <w:r>
        <w:rPr>
          <w:b w:val="0"/>
          <w:i w:val="0"/>
        </w:rPr>
        <w:t>D-03. O treino começa entre os 6 e os 12 meses, o que não serve o cão classificado como perigoso já adulto</w:t>
      </w:r>
    </w:p>
    <w:p>
      <w:pPr>
        <w:spacing w:after="0"/>
        <w:ind w:left="567"/>
      </w:pPr>
      <w:r>
        <w:rPr>
          <w:b w:val="0"/>
          <w:i w:val="0"/>
        </w:rPr>
        <w:t>D-04. Na cedência de cão perigoso, o cedente não informa nem entrega nada, e o novo detentor fica com o atraso</w:t>
      </w:r>
    </w:p>
    <w:p>
      <w:pPr>
        <w:spacing w:after="0"/>
        <w:ind w:left="567"/>
      </w:pPr>
      <w:r>
        <w:rPr>
          <w:b w:val="0"/>
          <w:i w:val="0"/>
        </w:rPr>
        <w:t>D-05. O registo do treino no SIAC fica sem perfil de acesso, sem coima e sem regime transitório</w:t>
      </w:r>
    </w:p>
    <w:p>
      <w:pPr>
        <w:spacing w:after="0"/>
        <w:ind w:left="567"/>
      </w:pPr>
      <w:r>
        <w:rPr>
          <w:b w:val="0"/>
          <w:i w:val="0"/>
        </w:rPr>
        <w:t>D-06. Nada diz quem decide se um cão é cruzamento de raça potencialmente perigosa, com que critério, nem como se contesta</w:t>
      </w:r>
    </w:p>
    <w:p>
      <w:pPr>
        <w:spacing w:after="0"/>
        <w:ind w:left="567"/>
      </w:pPr>
      <w:r>
        <w:rPr>
          <w:b w:val="0"/>
          <w:i w:val="0"/>
        </w:rPr>
        <w:t>D-07. A certificação dos treinadores inclui defesa e mordedura, e nada diz o que o treino do cão deve atingir nem como se avalia</w:t>
      </w:r>
    </w:p>
    <w:p>
      <w:pPr>
        <w:spacing w:after="40"/>
      </w:pPr>
    </w:p>
    <w:p>
      <w:pPr>
        <w:spacing w:after="40"/>
      </w:pPr>
      <w:r>
        <w:rPr>
          <w:b/>
          <w:i w:val="0"/>
        </w:rPr>
        <w:t>9. Medidas administrativas, fiscalização e contraordenações (cap. XV)</w:t>
      </w:r>
    </w:p>
    <w:p>
      <w:pPr>
        <w:spacing w:after="0"/>
        <w:ind w:left="567"/>
      </w:pPr>
      <w:r>
        <w:rPr>
          <w:b w:val="0"/>
          <w:i w:val="0"/>
        </w:rPr>
        <w:t>S-01. Os deveres dos CRO e o relatório anual ficam sem coima</w:t>
      </w:r>
    </w:p>
    <w:p>
      <w:pPr>
        <w:spacing w:after="0"/>
        <w:ind w:left="567"/>
      </w:pPr>
      <w:r>
        <w:rPr>
          <w:b w:val="0"/>
          <w:i w:val="0"/>
        </w:rPr>
        <w:t>S-02. A apreensão provisória serve só as contraordenações e admite devolver os animais ao local de origem</w:t>
      </w:r>
    </w:p>
    <w:p>
      <w:pPr>
        <w:spacing w:after="0"/>
        <w:ind w:left="567"/>
      </w:pPr>
      <w:r>
        <w:rPr>
          <w:b w:val="0"/>
          <w:i w:val="0"/>
        </w:rPr>
        <w:t>S-03. As sanções acessórias perdem a interdição do exercício da atividade</w:t>
      </w:r>
    </w:p>
    <w:p>
      <w:pPr>
        <w:spacing w:after="0"/>
        <w:ind w:left="567"/>
      </w:pPr>
      <w:r>
        <w:rPr>
          <w:b w:val="0"/>
          <w:i w:val="0"/>
        </w:rPr>
        <w:t>S-04. O dever geral de colaboração de terceiros e a coima por recusa de informações não passam para o RGAC</w:t>
      </w:r>
    </w:p>
    <w:p>
      <w:pPr>
        <w:spacing w:after="40"/>
      </w:pPr>
    </w:p>
    <w:p>
      <w:pPr>
        <w:spacing w:after="40"/>
      </w:pPr>
      <w:r>
        <w:rPr>
          <w:b/>
          <w:i w:val="0"/>
        </w:rPr>
        <w:t>10. Disposições finais e transitórias e anexos (cap. XVI e anexos)</w:t>
      </w:r>
    </w:p>
    <w:p>
      <w:pPr>
        <w:spacing w:after="0"/>
        <w:ind w:left="567"/>
      </w:pPr>
      <w:r>
        <w:rPr>
          <w:b w:val="0"/>
          <w:i w:val="0"/>
        </w:rPr>
        <w:t>F-01. A revogação total da Lei 92/95 apaga normas que não tratam de animais de companhia</w:t>
      </w:r>
    </w:p>
    <w:p>
      <w:pPr>
        <w:spacing w:after="0"/>
        <w:ind w:left="567"/>
      </w:pPr>
      <w:r>
        <w:rPr>
          <w:b w:val="0"/>
          <w:i w:val="0"/>
        </w:rPr>
        <w:t>F-02. O DL 74/2007 é ressalvado e revogado ao mesmo tempo</w:t>
      </w:r>
    </w:p>
    <w:p>
      <w:pPr>
        <w:spacing w:after="40"/>
      </w:pPr>
    </w:p>
    <w:p>
      <w:pPr>
        <w:spacing w:after="40"/>
      </w:pPr>
      <w:r>
        <w:rPr>
          <w:b/>
          <w:i w:val="0"/>
        </w:rPr>
        <w:t>11.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Detenção em estabelecimentos (cap. IV)</w:t>
      </w:r>
    </w:p>
    <w:p>
      <w:pPr>
        <w:pStyle w:val="Heading2"/>
      </w:pPr>
      <w:r>
        <w:rPr>
          <w:i w:val="0"/>
          <w:color w:val="000000"/>
        </w:rPr>
        <w:t>E-01.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 art. 98.º, n.º 13; Lei 38/2026, de 3 de agosto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G-02).</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G-02</w:t>
            </w:r>
          </w:p>
        </w:tc>
      </w:tr>
    </w:tbl>
    <w:p/>
    <w:p>
      <w:pPr>
        <w:pStyle w:val="Heading2"/>
      </w:pPr>
      <w:r>
        <w:rPr>
          <w:i w:val="0"/>
          <w:color w:val="000000"/>
        </w:rPr>
        <w:t>E-02.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 art. 49.º, n.º 2; art. 51.º; art. 139.º, n.º 1; art. 141.º, n.º 1</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S-03).</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S-03, S-02, G-01, E-01</w:t>
            </w:r>
          </w:p>
        </w:tc>
      </w:tr>
    </w:tbl>
    <w:p/>
    <w:p>
      <w:r>
        <w:br w:type="page"/>
      </w:r>
    </w:p>
    <w:p>
      <w:pPr>
        <w:pStyle w:val="Heading1"/>
      </w:pPr>
      <w:r>
        <w:rPr>
          <w:i w:val="0"/>
          <w:color w:val="000000"/>
        </w:rPr>
        <w:t>7. Gestão das populações animais (cap. X)</w:t>
      </w:r>
    </w:p>
    <w:p>
      <w:pPr>
        <w:pStyle w:val="Heading2"/>
      </w:pPr>
      <w:r>
        <w:rPr>
          <w:i w:val="0"/>
          <w:color w:val="000000"/>
        </w:rPr>
        <w:t>G-01.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 art. 98.º,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 S-02, G-02</w:t>
            </w:r>
          </w:p>
        </w:tc>
      </w:tr>
    </w:tbl>
    <w:p/>
    <w:p>
      <w:pPr>
        <w:pStyle w:val="Heading2"/>
      </w:pPr>
      <w:r>
        <w:rPr>
          <w:i w:val="0"/>
          <w:color w:val="000000"/>
        </w:rPr>
        <w:t>G-02.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 art. 70.º, n.ºs 8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E-01, T-05</w:t>
            </w:r>
          </w:p>
        </w:tc>
      </w:tr>
    </w:tbl>
    <w:p/>
    <w:p>
      <w:r>
        <w:br w:type="page"/>
      </w:r>
    </w:p>
    <w:p>
      <w:pPr>
        <w:pStyle w:val="Heading1"/>
      </w:pPr>
      <w:r>
        <w:rPr>
          <w:i w:val="0"/>
          <w:color w:val="000000"/>
        </w:rPr>
        <w:t>8. Animais perigosos e potencialmente perigosos (cap. XIV)</w:t>
      </w:r>
    </w:p>
    <w:p>
      <w:pPr>
        <w:pStyle w:val="Heading2"/>
      </w:pPr>
      <w:r>
        <w:rPr>
          <w:i w:val="0"/>
          <w:color w:val="000000"/>
        </w:rPr>
        <w:t>D-01.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 art. 115.º, n.ºs 1 a 3; art. 121.º, n.ºs 2, 4 e 5; art. 79.º, n.º 7; art. 110.º, n.º 2; art. 126.º, n.º 2; DL 315/2009, art. 3.º, al. b), art. 9.º, art. 14.º e art. 19.º, n.º 2; DL 82/2019, art. 13.º,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D-02.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 art. 110.º, n.ºs 1 e 3; art. 81.º, n.ºs 2 e 3; art. 127.º, n.º 4; DL 315/2009, art. 3.º, al. f), art. 5.º, n.º 1, e art. 20.º, n.º 4; DL 82/2019, art. 9.º, n.º 5, e art. 27.º, n.ºs 1 e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T-08, D-01</w:t>
            </w:r>
          </w:p>
        </w:tc>
      </w:tr>
    </w:tbl>
    <w:p/>
    <w:p>
      <w:pPr>
        <w:pStyle w:val="Heading2"/>
      </w:pPr>
      <w:r>
        <w:rPr>
          <w:i w:val="0"/>
          <w:color w:val="000000"/>
        </w:rPr>
        <w:t>D-03. O treino começa entre os 6 e os 12 meses, o que não serve o cão classificado como perigoso já adulto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128.º, n.ºs 1 e 2; art. 122.º, n.ºs 3 a 5; art. 126.º, n.º 6; art. 135.º, n.º 2; DL 315/2009, art. 15.º, n.ºs 3 e 4, art. 21.º, art. 28.º, n.º 2, e art. 38.º, n.º 1, al. m)</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315/2009 obriga os detentores a promover o treino (art. 21.º, n.º 1) e manda iniciá-lo entre os 6 e os 12 meses de idade (n.º 2). O prazo serve o cão potencialmente perigoso, que o é desde que nasce. Não serve o cão classificado como perigoso depois de uma agressão em adulto, nem o cão adulto que muda de detentor. Para o agressor, a única regra de prazo é a do MVM, «quando aplicável» (art. 15.º, n.ºs 3 e 4).</w:t>
            </w:r>
          </w:p>
          <w:p>
            <w:pPr>
              <w:spacing w:after="60"/>
            </w:pPr>
            <w:r>
              <w:rPr>
                <w:b w:val="0"/>
                <w:sz w:val="20"/>
              </w:rPr>
              <w:t>Não há dispensa por idade ou estado de saúde. A esterilização tem essa dispensa, com atestado de médico veterinário (DL 315/2009, art. 19.º, n.º 5, al. b)).</w:t>
            </w:r>
          </w:p>
          <w:p>
            <w:pPr>
              <w:spacing w:after="60"/>
            </w:pPr>
            <w:r>
              <w:rPr>
                <w:b w:val="0"/>
                <w:sz w:val="20"/>
              </w:rPr>
              <w:t>Não há registo do treino feito. Quando o cão muda de detentor, o novo detentor só pode provar o treino com o documento que o treinador entregou (DL 315/2009, art. 28.º, n.º 2).</w:t>
            </w:r>
          </w:p>
          <w:p>
            <w:pPr>
              <w:spacing w:after="60"/>
            </w:pPr>
            <w:r>
              <w:rPr>
                <w:b w:val="0"/>
                <w:sz w:val="20"/>
              </w:rPr>
              <w:t>O RGAC copia o art. 21.º (art. 128.º). Resolve a prova: o treinador regista o treino no SIAC (art. 135.º, n.º 2). Mantém o prazo dos 6 aos 12 meses e não prevê dispensa, ao contrário da esterilização (art. 126.º, n.º 6). Para o agressor, mantém o prazo fixado pelo MVM (art. 122.º, n.ºs 3 a 5).</w:t>
            </w:r>
          </w:p>
        </w:tc>
      </w:tr>
      <w:tr>
        <w:tc>
          <w:tcPr>
            <w:tcW w:w="1984" w:type="dxa"/>
          </w:tcPr>
          <w:p>
            <w:pPr>
              <w:spacing w:after="60"/>
            </w:pPr>
            <w:r/>
            <w:r>
              <w:rPr>
                <w:b/>
                <w:sz w:val="20"/>
              </w:rPr>
              <w:t>Proposta</w:t>
            </w:r>
          </w:p>
        </w:tc>
        <w:tc>
          <w:tcPr>
            <w:tcW w:w="7087" w:type="dxa"/>
          </w:tcPr>
          <w:p>
            <w:pPr>
              <w:spacing w:after="60"/>
            </w:pPr>
            <w:r/>
            <w:r>
              <w:rPr>
                <w:b w:val="0"/>
                <w:sz w:val="20"/>
              </w:rPr>
              <w:t>No art. 128.º, n.º 2: (i) para o cão classificado como perigoso depois dos 12 meses, ou que mude de detentor sem treino registado, o treino inicia-se no prazo fixado pelo MVM, contado da classificação ou do registo da nova titularidade; (ii) o treino feito e registado no SIAC vale para os detentores seguintes; (iii) prever dispensa ou adaptação por idade ou estado de saúde, com atestado de médico veterinário registado no SIAC, como no art. 126.º, n.º 6.</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sobre um cão perigoso de idade avançada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D-02</w:t>
            </w:r>
          </w:p>
        </w:tc>
      </w:tr>
    </w:tbl>
    <w:p/>
    <w:p>
      <w:pPr>
        <w:pStyle w:val="Heading2"/>
      </w:pPr>
      <w:r>
        <w:rPr>
          <w:i w:val="0"/>
          <w:color w:val="000000"/>
        </w:rPr>
        <w:t>D-04. Na cedência de cão perigoso, o cedente não informa nem entrega nada, e o novo detentor fica com o atraso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127.º, n.ºs 2 e 3; art. 73.º, n.ºs 2 e 5; art. 110.º, n.º 2; DL 315/2009, art. 20.º, n.º 2, al. c); DL 82/2019, art. 13.º, n.ºs 2 a 4; DL 9/2021, art. 5.º e art. 36.º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o DL 315/2009 só regula a entrega de cão potencialmente perigoso pelo criador: o comprador tem de apresentar a licença (art. 20.º, n.º 2, al. c)). Para o cão perigoso cedido entre particulares não há regra. O cedente não tem de informar o novo detentor da classificação, nem de lhe entregar a licença, o seguro ou os comprovativos de treino e de esterilização. O novo detentor pode só saber da classificação quando a transferência aparece no SIAC (DL 82/2019, art. 13.º, n.º 4).</w:t>
            </w:r>
          </w:p>
          <w:p>
            <w:pPr>
              <w:spacing w:after="60"/>
            </w:pPr>
            <w:r>
              <w:rPr>
                <w:b w:val="0"/>
                <w:sz w:val="20"/>
              </w:rPr>
              <w:t>A responsabilidade pelo passado não passa para o novo detentor. As omissões do cedente (licença, seguro, treino, esterilização) continuam a ser dele, com prescrição do procedimento em cinco anos (DL 9/2021, art. 36.º, al. a)). Mas o SIAC não regista, à data da cedência, o que estava cumprido. Na prática, o novo detentor fica com o atraso e com o encargo de o recuperar.</w:t>
            </w:r>
          </w:p>
          <w:p>
            <w:pPr>
              <w:spacing w:after="60"/>
            </w:pPr>
            <w:r>
              <w:rPr>
                <w:b w:val="0"/>
                <w:sz w:val="20"/>
              </w:rPr>
              <w:t>O RGAC não resolve. O art. 73.º, n.ºs 2 e 5 regula a transferência no SIAC sem condição própria para animais perigosos. O art. 110.º, n.º 2 fixa o prazo da licença do cão perigoso em 15 dias «após essa classificação» e não diz qual é o prazo do novo titular quando o cão já era perigoso. O art. 127.º, n.º 3 deixa cair a apresentação da licença na entrega de cão potencialmente perigoso pelo criador, que o DL 315/2009 exige.</w:t>
            </w:r>
          </w:p>
        </w:tc>
      </w:tr>
      <w:tr>
        <w:tc>
          <w:tcPr>
            <w:tcW w:w="1984" w:type="dxa"/>
          </w:tcPr>
          <w:p>
            <w:pPr>
              <w:spacing w:after="60"/>
            </w:pPr>
            <w:r/>
            <w:r>
              <w:rPr>
                <w:b/>
                <w:sz w:val="20"/>
              </w:rPr>
              <w:t>Proposta</w:t>
            </w:r>
          </w:p>
        </w:tc>
        <w:tc>
          <w:tcPr>
            <w:tcW w:w="7087" w:type="dxa"/>
          </w:tcPr>
          <w:p>
            <w:pPr>
              <w:spacing w:after="60"/>
            </w:pPr>
            <w:r/>
            <w:r>
              <w:rPr>
                <w:b w:val="0"/>
                <w:sz w:val="20"/>
              </w:rPr>
              <w:t>(i) Na cedência de cão perigoso ou potencialmente perigoso, o cedente informa por escrito o novo titular da classificação e entrega os comprovativos de licença, seguro, esterilização e treino. (ii) O SIAC mostra a classificação e o estado dessas obrigações antes de o novo titular validar a transferência, e guarda esse estado à data da cedência. (iii) O novo titular obtém a licença antes da entrega ou, sendo CRO ou associação zoófila, no prazo do art. 110.º, n.º 2, contado do registo da nova titularidade. (iv) Repor no art. 127.º, n.º 3 a apresentação da licença. (v) Prever coima para o cedente que não informe.</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recebeu de um particular um cão perigoso sem ser informada da classificação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D-02, D-03</w:t>
            </w:r>
          </w:p>
        </w:tc>
      </w:tr>
    </w:tbl>
    <w:p/>
    <w:p>
      <w:pPr>
        <w:pStyle w:val="Heading2"/>
      </w:pPr>
      <w:r>
        <w:rPr>
          <w:i w:val="0"/>
          <w:color w:val="000000"/>
        </w:rPr>
        <w:t>D-05. O registo do treino no SIAC fica sem perfil de acesso, sem coima e sem regime transitório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135.º, n.ºs 1 e 2; art. 122.º, n.º 4; art. 140.º; art. 73.º, n.º 1; DL 315/2009, art. 28.º, n.ºs 1 e 2, e art. 38.º, n.º 1, als. m) e p)</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não há registo central do treino. O treinador guarda durante 10 anos um registo dos animais treinados e mostra-o às entidades fiscalizadoras quando lho pedem (DL 315/2009, art. 28.º, n.º 1). O detentor recebe um documento (n.º 2). Se o detentor o perder, ou se o cão mudar de mãos, a autoridade só confirma o treino se souber quem foi o treinador.</w:t>
            </w:r>
          </w:p>
          <w:p>
            <w:pPr>
              <w:spacing w:after="60"/>
            </w:pPr>
            <w:r>
              <w:rPr>
                <w:b w:val="0"/>
                <w:sz w:val="20"/>
              </w:rPr>
              <w:t>O RGAC cria o depósito: «O treino do animal, com aproveitamento, é registado pelo treinador no SIAC, no prazo de 10 dias» (art. 135.º, n.º 2). O registo fica ligado ao transponder e acompanha o cão.</w:t>
            </w:r>
          </w:p>
          <w:p>
            <w:pPr>
              <w:spacing w:after="60"/>
            </w:pPr>
            <w:r>
              <w:rPr>
                <w:b w:val="0"/>
                <w:sz w:val="20"/>
              </w:rPr>
              <w:t>Faltam peças para funcionar. Nada dá aos treinadores perfil de acesso ao SIAC, que só aceita alterações de entidades com perfil atribuído pela DGAV (art. 73.º, n.º 1). O art. 140.º não tem coima expressa para a falta de registo, para a falta de treino ou para os outros deveres dos treinadores, que hoje são contraordenação (DL 315/2009, art. 38.º, n.º 1, als. m) e p)); as alíneas genéricas remetem para «artigo XX.º».</w:t>
            </w:r>
          </w:p>
          <w:p>
            <w:pPr>
              <w:spacing w:after="60"/>
            </w:pPr>
            <w:r>
              <w:rPr>
                <w:b w:val="0"/>
                <w:sz w:val="20"/>
              </w:rPr>
              <w:t>Não há regime para os treinos já feitos com o DL 315/2009, que só existem em papel e no registo do treinador. O treino imposto pelo MVM ao animal agressor continua a ser provado por comprovativo entregue ao MVM (art. 122.º, n.º 4), fora do SIAC.</w:t>
            </w:r>
          </w:p>
        </w:tc>
      </w:tr>
      <w:tr>
        <w:tc>
          <w:tcPr>
            <w:tcW w:w="1984" w:type="dxa"/>
          </w:tcPr>
          <w:p>
            <w:pPr>
              <w:spacing w:after="60"/>
            </w:pPr>
            <w:r/>
            <w:r>
              <w:rPr>
                <w:b/>
                <w:sz w:val="20"/>
              </w:rPr>
              <w:t>Proposta</w:t>
            </w:r>
          </w:p>
        </w:tc>
        <w:tc>
          <w:tcPr>
            <w:tcW w:w="7087" w:type="dxa"/>
          </w:tcPr>
          <w:p>
            <w:pPr>
              <w:spacing w:after="60"/>
            </w:pPr>
            <w:r/>
            <w:r>
              <w:rPr>
                <w:b w:val="0"/>
                <w:sz w:val="20"/>
              </w:rPr>
              <w:t>(i) Prever no Manual de Procedimentos SIAC um perfil de treinador, ligado ao título profissional. (ii) Coima para o treinador que não registe o treino, e repor as coimas da falta de treino e dos deveres dos treinadores. (iii) Norma transitória: o treinador regista no SIAC os treinos que constem do seu registo dos últimos 10 anos (art. 135.º, n.º 1), ou o médico veterinário regista-os com base no documento entregue ao detentor. (iv) No art. 122.º, n.º 4, o comprovativo de aprovação passa a ser o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(23.10.2026): proposta de um depósito central dos comprovativos de treino, verificável pela autoridade mesmo que o detentor os perca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D-03, D-04</w:t>
            </w:r>
          </w:p>
        </w:tc>
      </w:tr>
    </w:tbl>
    <w:p/>
    <w:p>
      <w:pPr>
        <w:pStyle w:val="Heading2"/>
      </w:pPr>
      <w:r>
        <w:rPr>
          <w:i w:val="0"/>
          <w:color w:val="000000"/>
        </w:rPr>
        <w:t>D-06. Nada diz quem decide se um cão é cruzamento de raça potencialmente perigosa, com que critério, nem como se contesta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potencialmente perigoso»; art. 79.º, n.º 7; art. 126.º, n.º 3; art. 120.º, n.º 5; DL 315/2009, art. 3.º, al. c), e art. 19.º, n.º 3; Portaria 422/2004, anexo; DL 276/2001, art. 53.º,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DL 315/2009 considera potencialmente perigosos os cães das raças da Portaria 422/2004 e os cruzamentos de primeira geração destas, os cruzamentos destas entre si ou com outras raças, «obtendo assim uma tipologia semelhante» a alguma delas (art. 3.º, al. c)). A Portaria só lista sete raças. Nenhuma norma fixa critérios de tipologia nem diz quem os aplica.</w:t>
            </w:r>
          </w:p>
          <w:p>
            <w:pPr>
              <w:spacing w:after="60"/>
            </w:pPr>
            <w:r>
              <w:rPr>
                <w:b w:val="0"/>
                <w:sz w:val="20"/>
              </w:rPr>
              <w:t>Fora do livro de origens, a raça também é uma avaliação. Os cães sem inscrição no livro de origens português são de raça indeterminada (DL 276/2001, art. 53.º, n.º 3), mas o DL 315/2009 manda esterilizar os cães «das raças» da Portaria que não estejam inscritos (art. 19.º, n.º 3). Para estes cães e para os cruzamentos, a classificação depende do que o médico veterinário regista no SIAC quando identifica o animal.</w:t>
            </w:r>
          </w:p>
          <w:p>
            <w:pPr>
              <w:spacing w:after="60"/>
            </w:pPr>
            <w:r>
              <w:rPr>
                <w:b w:val="0"/>
                <w:sz w:val="20"/>
              </w:rPr>
              <w:t>Não há procedimento de revisão. O titular que discorde não sabe a quem se dirigir, e a classificação traz deveres pesados: licença, seguro, açaimo e esterilização entre os 4 e os 6 meses.</w:t>
            </w:r>
          </w:p>
          <w:p>
            <w:pPr>
              <w:spacing w:after="60"/>
            </w:pPr>
            <w:r>
              <w:rPr>
                <w:b w:val="0"/>
                <w:sz w:val="20"/>
              </w:rPr>
              <w:t>Os tribunais e a doutrina confirmam a dificuldade. O Tribunal da Relação de Évora afastou a classificação de um cão «de raça indeterminada e de grande porte», dizendo que, «por possuir raça indeterminada, não está incluído em nenhuma das raças previamente definidas como potencialmente perigosas em Portaria do Governo», sem apreciar a tipologia (acórdão de 25.5.2021, proc. 245/19.0GCSTR.E1). A doutrina aponta a dificuldade de determinar a raça sem dados de ascendência, «mesmo, por vezes, para os próprios veterinários», sobretudo em animais errantes encaminhados para adoção (Maria Joana de Antas de Barros, RJLB, 2023).</w:t>
            </w:r>
          </w:p>
          <w:p>
            <w:pPr>
              <w:spacing w:after="60"/>
            </w:pPr>
            <w:r>
              <w:rPr>
                <w:b w:val="0"/>
                <w:sz w:val="20"/>
              </w:rPr>
              <w:t>O RGAC mantém a definição (art. 3.º) e diz só que a classificação «é determinada pelo registo SIAC e não pode ser alterada pela junta de freguesia» (art. 79.º, n.º 7). Não diz quem a faz, com que critério, nem como se revê. Para o cão perigoso já existe reversão por decisão do MVM (art. 120.º, n.º 5); para o potencialmente perigoso, não.</w:t>
            </w:r>
          </w:p>
        </w:tc>
      </w:tr>
      <w:tr>
        <w:tc>
          <w:tcPr>
            <w:tcW w:w="1984" w:type="dxa"/>
          </w:tcPr>
          <w:p>
            <w:pPr>
              <w:spacing w:after="60"/>
            </w:pPr>
            <w:r/>
            <w:r>
              <w:rPr>
                <w:b/>
                <w:sz w:val="20"/>
              </w:rPr>
              <w:t>Proposta</w:t>
            </w:r>
          </w:p>
        </w:tc>
        <w:tc>
          <w:tcPr>
            <w:tcW w:w="7087" w:type="dxa"/>
          </w:tcPr>
          <w:p>
            <w:pPr>
              <w:spacing w:after="60"/>
            </w:pPr>
            <w:r/>
            <w:r>
              <w:rPr>
                <w:b w:val="0"/>
                <w:sz w:val="20"/>
              </w:rPr>
              <w:t>(i) Dizer que a classificação por tipologia é feita pelo médico veterinário no registo no SIAC, com base em critérios morfológicos aprovados por despacho do diretor-geral e publicados no portal da DGAV. (ii) Em caso de dúvida ou de discordância do titular, decide o MVM, depois de observar o animal, por decisão fundamentada registada no SIAC. (iii) Prever a revisão a pedido do titular, com prova (registo genealógico, filiação conhecida, nova avaliação), como o art. 120.º, n.º 5 faz para o cão perigoso. Há modelos: em Espanha, o anexo II do Real Decreto 287/2002 enumera as características morfológicas; no Reino Unido, o Defra publicou em 2023 um padrão de conformação oficial para o tipo XL Bully, destinado aos agentes de fiscalização e aos tribunais.</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de uma consulta sobre como se decide se um cão é cruzamento de raça potencialmente perigosa; Maria Joana de Antas de Barros, «O estranho caso dos cães de raça potencialmente perigosa», RJLB, 2023; Tribunal da Relação de Évora, proc. 245/19.0GCSTR.E1 (25.5.2021); Petição pública «Pela revisão da Legislação das Raças Potencialmente Perigosas» (subscritora: Eneida Cardoso), dirigida ao Presidente da Assembleia da República, sem data (pede a reavaliação dos critérios de definição das raças por uma comissão independente)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D-01</w:t>
            </w:r>
          </w:p>
        </w:tc>
      </w:tr>
    </w:tbl>
    <w:p/>
    <w:p>
      <w:pPr>
        <w:pStyle w:val="Heading2"/>
      </w:pPr>
      <w:r>
        <w:rPr>
          <w:i w:val="0"/>
          <w:color w:val="000000"/>
        </w:rPr>
        <w:t>D-07. A certificação dos treinadores inclui defesa e mordedura, e nada diz o que o treino do cão deve atingir nem como se avalia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133.º, n.ºs 2 e 3; art. 128.º, n.º 1; art. 9.º, n.º 1, al. g); Portaria 317/2015, Anexo II, art. 3.º, n.º 3; DL 315/2009, art. 21.º, n.º 1, e art. 28.º, n.º 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Hoje, a prova de certificação dos treinadores de cães perigosos e potencialmente perigosos inclui «Noções básicas de figurância» e duas matérias de controlo e mordedura de cães em defesa (Portaria 317/2015, Anexo II, art. 3.º, n.º 3, als. e), h) e i)). São matérias de cães de trabalho e de defesa. O treino que a lei exige ao detentor é de «socialização e obediência» (DL 315/2009, art. 21.º, n.º 1).</w:t>
            </w:r>
          </w:p>
          <w:p>
            <w:pPr>
              <w:spacing w:after="60"/>
            </w:pPr>
            <w:r>
              <w:rPr>
                <w:b w:val="0"/>
                <w:sz w:val="20"/>
              </w:rPr>
              <w:t>A lei não diz o que o treino do cão deve atingir nem como se avalia. O treinador emite um documento quando o treino é «concluído com aproveitamento» (DL 315/2009, art. 28.º, n.º 2), sem critério legal de aproveitamento. A petição pública «Pela revisão da Legislação das Raças Potencialmente Perigosas» diz que, na prática, o cão faz uma prova de obediência desportiva (BH), com exercícios sem trela, e que a lei «não contempla em que momento é avaliado o cão de cada detentor».</w:t>
            </w:r>
          </w:p>
          <w:p>
            <w:pPr>
              <w:spacing w:after="60"/>
            </w:pPr>
            <w:r>
              <w:rPr>
                <w:b w:val="0"/>
                <w:sz w:val="20"/>
              </w:rPr>
              <w:t>O RGAC mantém o regime. O art. 133.º, n.º 3 diz que o modelo de provas e a avaliação dos candidatos «são os definidos na Portaria n.º 317/2015 de 30 de setembro», o que fixa a Portaria no decreto-lei. O art. 128.º, n.º 1 mantém o treino de socialização e obediência sem objetivos nem avaliação. O art. 9.º, n.º 1 já proíbe no treino os equipamentos que causem dor ou sofrimento, incluindo as coleiras de choque (al. g)), um dos pedidos da petição.</w:t>
            </w:r>
          </w:p>
        </w:tc>
      </w:tr>
      <w:tr>
        <w:tc>
          <w:tcPr>
            <w:tcW w:w="1984" w:type="dxa"/>
          </w:tcPr>
          <w:p>
            <w:pPr>
              <w:spacing w:after="60"/>
            </w:pPr>
            <w:r/>
            <w:r>
              <w:rPr>
                <w:b/>
                <w:sz w:val="20"/>
              </w:rPr>
              <w:t>Proposta</w:t>
            </w:r>
          </w:p>
        </w:tc>
        <w:tc>
          <w:tcPr>
            <w:tcW w:w="7087" w:type="dxa"/>
          </w:tcPr>
          <w:p>
            <w:pPr>
              <w:spacing w:after="60"/>
            </w:pPr>
            <w:r/>
            <w:r>
              <w:rPr>
                <w:b w:val="0"/>
                <w:sz w:val="20"/>
              </w:rPr>
              <w:t>(i) No art. 133.º, n.º 3, remeter para portaria a aprovar, em vez de fixar a Portaria 317/2015, e rever as matérias da prova: retirar o trabalho de defesa e mordedura e reforçar comportamento, socialização e métodos sem coação. (ii) No art. 128.º, fixar por portaria os objetivos do treino do cão (socialização, controlo em situações do dia a dia, resposta do detentor) e o modo de avaliação, adaptado à idade e ao estado de saúde do animal. (iii) Ouvir entidades com formação em comportamento animal, como pede a petição.</w:t>
            </w:r>
          </w:p>
        </w:tc>
      </w:tr>
      <w:tr>
        <w:tc>
          <w:tcPr>
            <w:tcW w:w="1984" w:type="dxa"/>
          </w:tcPr>
          <w:p>
            <w:pPr>
              <w:spacing w:after="60"/>
            </w:pPr>
            <w:r/>
            <w:r>
              <w:rPr>
                <w:b/>
                <w:sz w:val="20"/>
              </w:rPr>
              <w:t>Quem levantou</w:t>
            </w:r>
          </w:p>
        </w:tc>
        <w:tc>
          <w:tcPr>
            <w:tcW w:w="7087" w:type="dxa"/>
          </w:tcPr>
          <w:p>
            <w:pPr>
              <w:spacing w:after="60"/>
            </w:pPr>
            <w:r/>
            <w:r>
              <w:rPr>
                <w:b w:val="0"/>
                <w:sz w:val="20"/>
              </w:rPr>
              <w:t>Petição pública «Pela revisão da Legislação das Raças Potencialmente Perigosas» (subscritora: Eneida Cardoso), dirigida ao Presidente da Assembleia da República, sem data; Análise interna (23.10.2026)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D-03, D-05</w:t>
            </w:r>
          </w:p>
        </w:tc>
      </w:tr>
    </w:tbl>
    <w:p/>
    <w:p>
      <w:r>
        <w:br w:type="page"/>
      </w:r>
    </w:p>
    <w:p>
      <w:pPr>
        <w:pStyle w:val="Heading1"/>
      </w:pPr>
      <w:r>
        <w:rPr>
          <w:i w:val="0"/>
          <w:color w:val="000000"/>
        </w:rPr>
        <w:t>9.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T-06). Ponderar uma norma geral como a da Lei 92/95, art. 12.º, n.º 1, ou pelo menos coima expressa, com a gravidade que hoje tem no DL 276/2001 (art. 68.º, n.º 2, al. d)), para o art. 8.º, n.º 1 (morte sem motivo legítimo). Ver F-01.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 F-01</w:t>
            </w:r>
          </w:p>
        </w:tc>
      </w:tr>
    </w:tbl>
    <w:p/>
    <w:p>
      <w:pPr>
        <w:pStyle w:val="Heading2"/>
      </w:pPr>
      <w:r>
        <w:rPr>
          <w:i w:val="0"/>
          <w:color w:val="000000"/>
        </w:rPr>
        <w:t>S-02.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 art. 144.º; art. 138.º, n.º 3</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G-01, G-02, S-01</w:t>
            </w:r>
          </w:p>
        </w:tc>
      </w:tr>
    </w:tbl>
    <w:p/>
    <w:p>
      <w:pPr>
        <w:pStyle w:val="Heading2"/>
      </w:pPr>
      <w:r>
        <w:rPr>
          <w:i w:val="0"/>
          <w:color w:val="000000"/>
        </w:rPr>
        <w:t>S-03.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 art. 50.º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E-02, S-02</w:t>
            </w:r>
          </w:p>
        </w:tc>
      </w:tr>
    </w:tbl>
    <w:p/>
    <w:p>
      <w:pPr>
        <w:pStyle w:val="Heading2"/>
      </w:pPr>
      <w:r>
        <w:rPr>
          <w:i w:val="0"/>
          <w:color w:val="000000"/>
        </w:rPr>
        <w:t>S-04.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 art. 140.º, n.º 2, al. i); art. 54.º, n.º 1; art. 137.º, n.º 4; art. 108.º, n.º 2, al. c); art. 109.º, n.ºs 2 e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w:t>
            </w:r>
          </w:p>
        </w:tc>
      </w:tr>
    </w:tbl>
    <w:p/>
    <w:p>
      <w:r>
        <w:br w:type="page"/>
      </w:r>
    </w:p>
    <w:p>
      <w:pPr>
        <w:pStyle w:val="Heading1"/>
      </w:pPr>
      <w:r>
        <w:rPr>
          <w:i w:val="0"/>
          <w:color w:val="000000"/>
        </w:rPr>
        <w:t>10. Disposições finais e transitórias e anexos (cap. XVI e anexos)</w:t>
      </w:r>
    </w:p>
    <w:p>
      <w:pPr>
        <w:pStyle w:val="Heading2"/>
      </w:pPr>
      <w:r>
        <w:rPr>
          <w:i w:val="0"/>
          <w:color w:val="000000"/>
        </w:rPr>
        <w:t>F-01.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 art. 2.º, n.ºs 1, 2 e 9; art. 140.º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S-01, T-06</w:t>
            </w:r>
          </w:p>
        </w:tc>
      </w:tr>
    </w:tbl>
    <w:p/>
    <w:p>
      <w:pPr>
        <w:pStyle w:val="Heading2"/>
      </w:pPr>
      <w:r>
        <w:rPr>
          <w:i w:val="0"/>
          <w:color w:val="000000"/>
        </w:rPr>
        <w:t>F-02.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 art. 149.º, n.º 1, al. f)</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F-01</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8"/>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E-01</w:t>
            </w:r>
          </w:p>
        </w:tc>
        <w:tc>
          <w:tcPr>
            <w:tcW w:w="5216" w:type="dxa"/>
          </w:tcPr>
          <w:p>
            <w:pPr>
              <w:spacing w:after="60"/>
            </w:pPr>
            <w:r/>
            <w:r>
              <w:rPr>
                <w:b w:val="0"/>
                <w:sz w:val="20"/>
              </w:rPr>
              <w:t>Nada sobre animais de companhia em acidente grave ou catástrofe</w:t>
            </w:r>
          </w:p>
        </w:tc>
        <w:tc>
          <w:tcPr>
            <w:tcW w:w="3969" w:type="dxa"/>
          </w:tcPr>
          <w:p>
            <w:pPr>
              <w:spacing w:after="60"/>
            </w:pPr>
            <w:r/>
            <w:r>
              <w:rPr>
                <w:b w:val="0"/>
                <w:sz w:val="20"/>
              </w:rPr>
              <w:t>art. 25.º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E-02</w:t>
            </w:r>
          </w:p>
        </w:tc>
        <w:tc>
          <w:tcPr>
            <w:tcW w:w="5216" w:type="dxa"/>
          </w:tcPr>
          <w:p>
            <w:pPr>
              <w:spacing w:after="60"/>
            </w:pPr>
            <w:r/>
            <w:r>
              <w:rPr>
                <w:b w:val="0"/>
                <w:sz w:val="20"/>
              </w:rPr>
              <w:t>O encerramento de estabelecimentos fica sem medida cautelar, sem regra para os animais e sem efeito no registo</w:t>
            </w:r>
          </w:p>
        </w:tc>
        <w:tc>
          <w:tcPr>
            <w:tcW w:w="3969" w:type="dxa"/>
          </w:tcPr>
          <w:p>
            <w:pPr>
              <w:spacing w:after="60"/>
            </w:pPr>
            <w:r/>
            <w:r>
              <w:rPr>
                <w:b w:val="0"/>
                <w:sz w:val="20"/>
              </w:rPr>
              <w:t>art. 50.º, n.ºs 1, 4 e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G-01</w:t>
            </w:r>
          </w:p>
        </w:tc>
        <w:tc>
          <w:tcPr>
            <w:tcW w:w="5216" w:type="dxa"/>
          </w:tcPr>
          <w:p>
            <w:pPr>
              <w:spacing w:after="60"/>
            </w:pPr>
            <w:r/>
            <w:r>
              <w:rPr>
                <w:b w:val="0"/>
                <w:sz w:val="20"/>
              </w:rPr>
              <w:t>A recolha por razões de bem-estar passa da DGAV para as câmaras e o destino para o médico veterinário municipal</w:t>
            </w:r>
          </w:p>
        </w:tc>
        <w:tc>
          <w:tcPr>
            <w:tcW w:w="3969" w:type="dxa"/>
          </w:tcPr>
          <w:p>
            <w:pPr>
              <w:spacing w:after="60"/>
            </w:pPr>
            <w:r/>
            <w:r>
              <w:rPr>
                <w:b w:val="0"/>
                <w:sz w:val="20"/>
              </w:rPr>
              <w:t>art. 91.º, n.ºs 5 a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G-02</w:t>
            </w:r>
          </w:p>
        </w:tc>
        <w:tc>
          <w:tcPr>
            <w:tcW w:w="5216" w:type="dxa"/>
          </w:tcPr>
          <w:p>
            <w:pPr>
              <w:spacing w:after="60"/>
            </w:pPr>
            <w:r/>
            <w:r>
              <w:rPr>
                <w:b w:val="0"/>
                <w:sz w:val="20"/>
              </w:rPr>
              <w:t>A presunção de abandono aos 15 dias não ressalva animais apreendidos nem animais socorridos em emergência</w:t>
            </w:r>
          </w:p>
        </w:tc>
        <w:tc>
          <w:tcPr>
            <w:tcW w:w="3969" w:type="dxa"/>
          </w:tcPr>
          <w:p>
            <w:pPr>
              <w:spacing w:after="60"/>
            </w:pPr>
            <w:r/>
            <w:r>
              <w:rPr>
                <w:b w:val="0"/>
                <w:sz w:val="20"/>
              </w:rPr>
              <w:t>art. 98.º, n.º 13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D-01</w:t>
            </w:r>
          </w:p>
        </w:tc>
        <w:tc>
          <w:tcPr>
            <w:tcW w:w="5216" w:type="dxa"/>
          </w:tcPr>
          <w:p>
            <w:pPr>
              <w:spacing w:after="60"/>
            </w:pPr>
            <w:r/>
            <w:r>
              <w:rPr>
                <w:b w:val="0"/>
                <w:sz w:val="20"/>
              </w:rPr>
              <w:t>Duas vias para retirar a classificação de perigoso, sem ligação entre elas</w:t>
            </w:r>
          </w:p>
        </w:tc>
        <w:tc>
          <w:tcPr>
            <w:tcW w:w="3969" w:type="dxa"/>
          </w:tcPr>
          <w:p>
            <w:pPr>
              <w:spacing w:after="60"/>
            </w:pPr>
            <w:r/>
            <w:r>
              <w:rPr>
                <w:b w:val="0"/>
                <w:sz w:val="20"/>
              </w:rPr>
              <w:t>art. 120.º, n.ºs 1, 3 e 5</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D-02</w:t>
            </w:r>
          </w:p>
        </w:tc>
        <w:tc>
          <w:tcPr>
            <w:tcW w:w="5216" w:type="dxa"/>
          </w:tcPr>
          <w:p>
            <w:pPr>
              <w:spacing w:after="60"/>
            </w:pPr>
            <w:r/>
            <w:r>
              <w:rPr>
                <w:b w:val="0"/>
                <w:sz w:val="20"/>
              </w:rPr>
              <w:t>Associação titular de cão perigoso: falta a regra da licença e a adoção fica entre duas normas contrárias</w:t>
            </w:r>
          </w:p>
        </w:tc>
        <w:tc>
          <w:tcPr>
            <w:tcW w:w="3969" w:type="dxa"/>
          </w:tcPr>
          <w:p>
            <w:pPr>
              <w:spacing w:after="60"/>
            </w:pPr>
            <w:r/>
            <w:r>
              <w:rPr>
                <w:b w:val="0"/>
                <w:sz w:val="20"/>
              </w:rPr>
              <w:t>art. 69.º, n.ºs 6 e 7</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D-03</w:t>
            </w:r>
          </w:p>
        </w:tc>
        <w:tc>
          <w:tcPr>
            <w:tcW w:w="5216" w:type="dxa"/>
          </w:tcPr>
          <w:p>
            <w:pPr>
              <w:spacing w:after="60"/>
            </w:pPr>
            <w:r/>
            <w:r>
              <w:rPr>
                <w:b w:val="0"/>
                <w:sz w:val="20"/>
              </w:rPr>
              <w:t>O treino começa entre os 6 e os 12 meses, o que não serve o cão classificado como perigoso já adulto</w:t>
            </w:r>
          </w:p>
        </w:tc>
        <w:tc>
          <w:tcPr>
            <w:tcW w:w="3969" w:type="dxa"/>
          </w:tcPr>
          <w:p>
            <w:pPr>
              <w:spacing w:after="60"/>
            </w:pPr>
            <w:r/>
            <w:r>
              <w:rPr>
                <w:b w:val="0"/>
                <w:sz w:val="20"/>
              </w:rPr>
              <w:t>art. 128.º, n.ºs 1 e 2</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D-04</w:t>
            </w:r>
          </w:p>
        </w:tc>
        <w:tc>
          <w:tcPr>
            <w:tcW w:w="5216" w:type="dxa"/>
          </w:tcPr>
          <w:p>
            <w:pPr>
              <w:spacing w:after="60"/>
            </w:pPr>
            <w:r/>
            <w:r>
              <w:rPr>
                <w:b w:val="0"/>
                <w:sz w:val="20"/>
              </w:rPr>
              <w:t>Na cedência de cão perigoso, o cedente não informa nem entrega nada, e o novo detentor fica com o atraso</w:t>
            </w:r>
          </w:p>
        </w:tc>
        <w:tc>
          <w:tcPr>
            <w:tcW w:w="3969" w:type="dxa"/>
          </w:tcPr>
          <w:p>
            <w:pPr>
              <w:spacing w:after="60"/>
            </w:pPr>
            <w:r/>
            <w:r>
              <w:rPr>
                <w:b w:val="0"/>
                <w:sz w:val="20"/>
              </w:rPr>
              <w:t>art. 127.º, n.ºs 2 e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D-05</w:t>
            </w:r>
          </w:p>
        </w:tc>
        <w:tc>
          <w:tcPr>
            <w:tcW w:w="5216" w:type="dxa"/>
          </w:tcPr>
          <w:p>
            <w:pPr>
              <w:spacing w:after="60"/>
            </w:pPr>
            <w:r/>
            <w:r>
              <w:rPr>
                <w:b w:val="0"/>
                <w:sz w:val="20"/>
              </w:rPr>
              <w:t>O registo do treino no SIAC fica sem perfil de acesso, sem coima e sem regime transitório</w:t>
            </w:r>
          </w:p>
        </w:tc>
        <w:tc>
          <w:tcPr>
            <w:tcW w:w="3969" w:type="dxa"/>
          </w:tcPr>
          <w:p>
            <w:pPr>
              <w:spacing w:after="60"/>
            </w:pPr>
            <w:r/>
            <w:r>
              <w:rPr>
                <w:b w:val="0"/>
                <w:sz w:val="20"/>
              </w:rPr>
              <w:t>art. 135.º, n.ºs 1 e 2</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D-06</w:t>
            </w:r>
          </w:p>
        </w:tc>
        <w:tc>
          <w:tcPr>
            <w:tcW w:w="5216" w:type="dxa"/>
          </w:tcPr>
          <w:p>
            <w:pPr>
              <w:spacing w:after="60"/>
            </w:pPr>
            <w:r/>
            <w:r>
              <w:rPr>
                <w:b w:val="0"/>
                <w:sz w:val="20"/>
              </w:rPr>
              <w:t>Nada diz quem decide se um cão é cruzamento de raça potencialmente perigosa, com que critério, nem como se contesta</w:t>
            </w:r>
          </w:p>
        </w:tc>
        <w:tc>
          <w:tcPr>
            <w:tcW w:w="3969" w:type="dxa"/>
          </w:tcPr>
          <w:p>
            <w:pPr>
              <w:spacing w:after="60"/>
            </w:pPr>
            <w:r/>
            <w:r>
              <w:rPr>
                <w:b w:val="0"/>
                <w:sz w:val="20"/>
              </w:rPr>
              <w:t>art. 3.º, definição de «Animal potencialmente perigoso»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D-07</w:t>
            </w:r>
          </w:p>
        </w:tc>
        <w:tc>
          <w:tcPr>
            <w:tcW w:w="5216" w:type="dxa"/>
          </w:tcPr>
          <w:p>
            <w:pPr>
              <w:spacing w:after="60"/>
            </w:pPr>
            <w:r/>
            <w:r>
              <w:rPr>
                <w:b w:val="0"/>
                <w:sz w:val="20"/>
              </w:rPr>
              <w:t>A certificação dos treinadores inclui defesa e mordedura, e nada diz o que o treino do cão deve atingir nem como se avalia</w:t>
            </w:r>
          </w:p>
        </w:tc>
        <w:tc>
          <w:tcPr>
            <w:tcW w:w="3969" w:type="dxa"/>
          </w:tcPr>
          <w:p>
            <w:pPr>
              <w:spacing w:after="60"/>
            </w:pPr>
            <w:r/>
            <w:r>
              <w:rPr>
                <w:b w:val="0"/>
                <w:sz w:val="20"/>
              </w:rPr>
              <w:t>art. 133.º, n.ºs 2 e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S-02</w:t>
            </w:r>
          </w:p>
        </w:tc>
        <w:tc>
          <w:tcPr>
            <w:tcW w:w="5216" w:type="dxa"/>
          </w:tcPr>
          <w:p>
            <w:pPr>
              <w:spacing w:after="60"/>
            </w:pPr>
            <w:r/>
            <w:r>
              <w:rPr>
                <w:b w:val="0"/>
                <w:sz w:val="20"/>
              </w:rPr>
              <w:t>A apreensão provisória serve só as contraordenações e admite devolver os animais ao local de origem</w:t>
            </w:r>
          </w:p>
        </w:tc>
        <w:tc>
          <w:tcPr>
            <w:tcW w:w="3969" w:type="dxa"/>
          </w:tcPr>
          <w:p>
            <w:pPr>
              <w:spacing w:after="60"/>
            </w:pPr>
            <w:r/>
            <w:r>
              <w:rPr>
                <w:b w:val="0"/>
                <w:sz w:val="20"/>
              </w:rPr>
              <w:t>art. 139.º, n.ºs 1, 3 e 8</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S-03</w:t>
            </w:r>
          </w:p>
        </w:tc>
        <w:tc>
          <w:tcPr>
            <w:tcW w:w="5216" w:type="dxa"/>
          </w:tcPr>
          <w:p>
            <w:pPr>
              <w:spacing w:after="60"/>
            </w:pPr>
            <w:r/>
            <w:r>
              <w:rPr>
                <w:b w:val="0"/>
                <w:sz w:val="20"/>
              </w:rPr>
              <w:t>As sanções acessórias perdem a interdição do exercício da atividade</w:t>
            </w:r>
          </w:p>
        </w:tc>
        <w:tc>
          <w:tcPr>
            <w:tcW w:w="3969" w:type="dxa"/>
          </w:tcPr>
          <w:p>
            <w:pPr>
              <w:spacing w:after="60"/>
            </w:pPr>
            <w:r/>
            <w:r>
              <w:rPr>
                <w:b w:val="0"/>
                <w:sz w:val="20"/>
              </w:rPr>
              <w:t>art. 141.º, n.ºs 1 e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S-04</w:t>
            </w:r>
          </w:p>
        </w:tc>
        <w:tc>
          <w:tcPr>
            <w:tcW w:w="5216" w:type="dxa"/>
          </w:tcPr>
          <w:p>
            <w:pPr>
              <w:spacing w:after="60"/>
            </w:pPr>
            <w:r/>
            <w:r>
              <w:rPr>
                <w:b w:val="0"/>
                <w:sz w:val="20"/>
              </w:rPr>
              <w:t>O dever geral de colaboração de terceiros e a coima por recusa de informações não passam para o RGAC</w:t>
            </w:r>
          </w:p>
        </w:tc>
        <w:tc>
          <w:tcPr>
            <w:tcW w:w="3969" w:type="dxa"/>
          </w:tcPr>
          <w:p>
            <w:pPr>
              <w:spacing w:after="60"/>
            </w:pPr>
            <w:r/>
            <w:r>
              <w:rPr>
                <w:b w:val="0"/>
                <w:sz w:val="20"/>
              </w:rPr>
              <w:t>art. 138.º, n.ºs 1 e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F-01</w:t>
            </w:r>
          </w:p>
        </w:tc>
        <w:tc>
          <w:tcPr>
            <w:tcW w:w="5216" w:type="dxa"/>
          </w:tcPr>
          <w:p>
            <w:pPr>
              <w:spacing w:after="60"/>
            </w:pPr>
            <w:r/>
            <w:r>
              <w:rPr>
                <w:b w:val="0"/>
                <w:sz w:val="20"/>
              </w:rPr>
              <w:t>A revogação total da Lei 92/95 apaga normas que não tratam de animais de companhia</w:t>
            </w:r>
          </w:p>
        </w:tc>
        <w:tc>
          <w:tcPr>
            <w:tcW w:w="3969" w:type="dxa"/>
          </w:tcPr>
          <w:p>
            <w:pPr>
              <w:spacing w:after="60"/>
            </w:pPr>
            <w:r/>
            <w:r>
              <w:rPr>
                <w:b w:val="0"/>
                <w:sz w:val="20"/>
              </w:rPr>
              <w:t>art. 149.º, n.º 1, al. a)</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F-02</w:t>
            </w:r>
          </w:p>
        </w:tc>
        <w:tc>
          <w:tcPr>
            <w:tcW w:w="5216" w:type="dxa"/>
          </w:tcPr>
          <w:p>
            <w:pPr>
              <w:spacing w:after="60"/>
            </w:pPr>
            <w:r/>
            <w:r>
              <w:rPr>
                <w:b w:val="0"/>
                <w:sz w:val="20"/>
              </w:rPr>
              <w:t>O DL 74/2007 é ressalvado e revogado ao mesmo tempo</w:t>
            </w:r>
          </w:p>
        </w:tc>
        <w:tc>
          <w:tcPr>
            <w:tcW w:w="3969" w:type="dxa"/>
          </w:tcPr>
          <w:p>
            <w:pPr>
              <w:spacing w:after="60"/>
            </w:pPr>
            <w:r/>
            <w:r>
              <w:rPr>
                <w:b w:val="0"/>
                <w:sz w:val="20"/>
              </w:rPr>
              <w:t>art. 2.º, n.º 8</w:t>
            </w:r>
          </w:p>
        </w:tc>
        <w:tc>
          <w:tcPr>
            <w:tcW w:w="2381" w:type="dxa"/>
          </w:tcPr>
          <w:p>
            <w:pPr>
              <w:spacing w:after="60"/>
            </w:pPr>
            <w:r/>
            <w:r>
              <w:rPr>
                <w:b w:val="0"/>
                <w:sz w:val="20"/>
              </w:rPr>
              <w:t>Criado pelo RGAC</w:t>
            </w:r>
          </w:p>
        </w:tc>
        <w:tc>
          <w:tcPr>
            <w:tcW w:w="1928" w:type="dxa"/>
          </w:tcPr>
          <w:p>
            <w:pPr>
              <w:spacing w:after="60"/>
            </w:pPr>
            <w:r/>
            <w:r>
              <w:rPr>
                <w:b w:val="0"/>
                <w:sz w:val="20"/>
              </w:rPr>
              <w:t>Aberto</w:t>
            </w:r>
          </w:p>
        </w:tc>
      </w:tr>
    </w:tbl>
    <w:p/>
    <w:p>
      <w:r>
        <w:rPr>
          <w:b w:val="0"/>
          <w:i w:val="0"/>
        </w:rPr>
        <w:t>Total: 58 fichas, das quais 54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temas deste memorando. Não se usam notícias de imprensa. As citações estão entre aspas e foram transcritas das fontes indicadas. A coluna Tema usa as letras da secção 1. Tema T: Titular, detentor, proprietário e operador. Tema C: Programas CED, colónias e animais errantes. Tema D: Animais perigosos e potencialmente perigosos (cap. XIV).</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Administrações estrangeiras</w:t>
            </w:r>
          </w:p>
        </w:tc>
      </w:tr>
      <w:tr>
        <w:tc>
          <w:tcPr>
            <w:tcW w:w="2835" w:type="dxa"/>
          </w:tcPr>
          <w:p>
            <w:pPr>
              <w:spacing w:after="60"/>
            </w:pPr>
            <w:r/>
            <w:r>
              <w:rPr>
                <w:b w:val="0"/>
                <w:sz w:val="20"/>
              </w:rPr>
              <w:t>Espanha, Real Decreto 287/2002, art. 2.º e anexo II (redação original) (22.3.2002)</w:t>
            </w:r>
          </w:p>
        </w:tc>
        <w:tc>
          <w:tcPr>
            <w:tcW w:w="907" w:type="dxa"/>
          </w:tcPr>
          <w:p>
            <w:pPr>
              <w:spacing w:after="60"/>
            </w:pPr>
            <w:r/>
            <w:r>
              <w:rPr>
                <w:b w:val="0"/>
                <w:sz w:val="20"/>
              </w:rPr>
              <w:t>D</w:t>
            </w:r>
          </w:p>
        </w:tc>
        <w:tc>
          <w:tcPr>
            <w:tcW w:w="6860" w:type="dxa"/>
          </w:tcPr>
          <w:p>
            <w:pPr>
              <w:spacing w:after="60"/>
            </w:pPr>
            <w:r/>
            <w:r>
              <w:rPr>
                <w:b w:val="0"/>
                <w:sz w:val="20"/>
              </w:rPr>
              <w:t>Além da lista de raças, considera potencialmente perigosos os cães com todas ou a maior parte das características morfológicas do anexo II, como o pelo curto, o perímetro torácico, a altura e o peso. Citação: «Aquellos cuyas características se correspondan con todas o la mayoría de las que figuran en el anexo II» (aqueles cujas características correspondam a todas ou à maior parte das que constam do anexo II).</w:t>
            </w:r>
          </w:p>
        </w:tc>
        <w:tc>
          <w:tcPr>
            <w:tcW w:w="3969" w:type="dxa"/>
          </w:tcPr>
          <w:p>
            <w:pPr>
              <w:spacing w:after="60"/>
            </w:pPr>
            <w:r/>
            <w:r>
              <w:rPr>
                <w:b w:val="0"/>
                <w:sz w:val="20"/>
              </w:rPr>
              <w:t>https://boe.es/boe/dias/2002/03/27/pdfs/A12290-12292.pdf</w:t>
            </w:r>
          </w:p>
        </w:tc>
      </w:tr>
      <w:tr>
        <w:tc>
          <w:tcPr>
            <w:tcW w:w="2835" w:type="dxa"/>
          </w:tcPr>
          <w:p>
            <w:pPr>
              <w:spacing w:after="60"/>
            </w:pPr>
            <w:r/>
            <w:r>
              <w:rPr>
                <w:b w:val="0"/>
                <w:sz w:val="20"/>
              </w:rPr>
              <w:t>Reino Unido, Defra, padrão de conformação do tipo XL Bully (31.10.2023)</w:t>
            </w:r>
          </w:p>
        </w:tc>
        <w:tc>
          <w:tcPr>
            <w:tcW w:w="907" w:type="dxa"/>
          </w:tcPr>
          <w:p>
            <w:pPr>
              <w:spacing w:after="60"/>
            </w:pPr>
            <w:r/>
            <w:r>
              <w:rPr>
                <w:b w:val="0"/>
                <w:sz w:val="20"/>
              </w:rPr>
              <w:t>D</w:t>
            </w:r>
          </w:p>
        </w:tc>
        <w:tc>
          <w:tcPr>
            <w:tcW w:w="6860" w:type="dxa"/>
          </w:tcPr>
          <w:p>
            <w:pPr>
              <w:spacing w:after="60"/>
            </w:pPr>
            <w:r/>
            <w:r>
              <w:rPr>
                <w:b w:val="0"/>
                <w:sz w:val="20"/>
              </w:rPr>
              <w:t>Fixa por escrito as características físicas do tipo XL Bully, para apoiar a identificação pelos tribunais e pelos agentes de fiscalização. Citação: «intended to be used by the courts and Dog Legislation Officers to support identification of the XL Bully breed type» (destina-se a ser usado pelos tribunais e pelos agentes de fiscalização para apoiar a identificação do tipo XL Bully).</w:t>
            </w:r>
          </w:p>
        </w:tc>
        <w:tc>
          <w:tcPr>
            <w:tcW w:w="3969" w:type="dxa"/>
          </w:tcPr>
          <w:p>
            <w:pPr>
              <w:spacing w:after="60"/>
            </w:pPr>
            <w:r/>
            <w:r>
              <w:rPr>
                <w:b w:val="0"/>
                <w:sz w:val="20"/>
              </w:rPr>
              <w:t>https://www.gov.uk/government/publications/official-definition-of-an-xl-bully-dog</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2835" w:type="dxa"/>
          </w:tcPr>
          <w:p>
            <w:pPr>
              <w:spacing w:after="60"/>
            </w:pPr>
            <w:r/>
            <w:r>
              <w:rPr>
                <w:b w:val="0"/>
                <w:sz w:val="20"/>
              </w:rPr>
              <w:t>Maria Joana de Antas de Barros, «O estranho caso dos cães de raça potencialmente perigosa», RJLB (2023)</w:t>
            </w:r>
          </w:p>
        </w:tc>
        <w:tc>
          <w:tcPr>
            <w:tcW w:w="907" w:type="dxa"/>
          </w:tcPr>
          <w:p>
            <w:pPr>
              <w:spacing w:after="60"/>
            </w:pPr>
            <w:r/>
            <w:r>
              <w:rPr>
                <w:b w:val="0"/>
                <w:sz w:val="20"/>
              </w:rPr>
              <w:t>D</w:t>
            </w:r>
          </w:p>
        </w:tc>
        <w:tc>
          <w:tcPr>
            <w:tcW w:w="6860" w:type="dxa"/>
          </w:tcPr>
          <w:p>
            <w:pPr>
              <w:spacing w:after="60"/>
            </w:pPr>
            <w:r/>
            <w:r>
              <w:rPr>
                <w:b w:val="0"/>
                <w:sz w:val="20"/>
              </w:rPr>
              <w:t>Critica a inclusão dos cruzamentos no regime: sem dados de ascendência a raça é difícil de determinar, sobretudo em animais errantes encaminhados para adoção, e os cruzamentos são cães sem raça definida. Citação: «se afigura de extrema dificuldade (mesmo, por vezes, para os próprios veterinários) a tarefa de determinar, com certeza e exatidão, qual a raça de determinado cão, sem a posse de qualquer dado relativo à sua ascendência».</w:t>
            </w:r>
          </w:p>
        </w:tc>
        <w:tc>
          <w:tcPr>
            <w:tcW w:w="3969" w:type="dxa"/>
          </w:tcPr>
          <w:p>
            <w:pPr>
              <w:spacing w:after="60"/>
            </w:pPr>
            <w:r/>
            <w:r>
              <w:rPr>
                <w:b w:val="0"/>
                <w:sz w:val="20"/>
              </w:rPr>
              <w:t>https://www.cidp.pt/revistas/rjlb/2023/3/2023_03_1215_1242.pdf</w:t>
            </w:r>
          </w:p>
        </w:tc>
      </w:tr>
      <w:tr>
        <w:tc>
          <w:tcPr>
            <w:tcW w:w="2835" w:type="dxa"/>
          </w:tcPr>
          <w:p>
            <w:pPr>
              <w:spacing w:after="60"/>
            </w:pPr>
            <w:r/>
            <w:r>
              <w:rPr>
                <w:b w:val="0"/>
                <w:sz w:val="20"/>
              </w:rPr>
              <w:t>Tribunal da Relação de Évora, proc. 245/19.0GCSTR.E1 (25.5.2021)</w:t>
            </w:r>
          </w:p>
        </w:tc>
        <w:tc>
          <w:tcPr>
            <w:tcW w:w="907" w:type="dxa"/>
          </w:tcPr>
          <w:p>
            <w:pPr>
              <w:spacing w:after="60"/>
            </w:pPr>
            <w:r/>
            <w:r>
              <w:rPr>
                <w:b w:val="0"/>
                <w:sz w:val="20"/>
              </w:rPr>
              <w:t>D</w:t>
            </w:r>
          </w:p>
        </w:tc>
        <w:tc>
          <w:tcPr>
            <w:tcW w:w="6860" w:type="dxa"/>
          </w:tcPr>
          <w:p>
            <w:pPr>
              <w:spacing w:after="60"/>
            </w:pPr>
            <w:r/>
            <w:r>
              <w:rPr>
                <w:b w:val="0"/>
                <w:sz w:val="20"/>
              </w:rPr>
              <w:t>Um cão de raça indeterminada e de grande porte fica fora do regime dos animais potencialmente perigosos. O acórdão não aprecia a tipologia. Citação: «por possuir raça indeterminada, não está incluído em nenhuma das raças previamente definidas como potencialmente perigosas em Portaria do Governo».</w:t>
            </w:r>
          </w:p>
        </w:tc>
        <w:tc>
          <w:tcPr>
            <w:tcW w:w="3969" w:type="dxa"/>
          </w:tcPr>
          <w:p>
            <w:pPr>
              <w:spacing w:after="60"/>
            </w:pPr>
            <w:r/>
            <w:r>
              <w:rPr>
                <w:b w:val="0"/>
                <w:sz w:val="20"/>
              </w:rPr>
              <w:t>https://jurisprudencia.pt/acordao/200915/</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r>
        <w:tc>
          <w:tcPr>
            <w:tcW w:w="14570" w:type="dxa"/>
            <w:gridSpan w:val="4"/>
          </w:tcPr>
          <w:p>
            <w:pPr>
              <w:spacing w:after="60"/>
            </w:pPr>
            <w:r/>
            <w:r>
              <w:rPr>
                <w:b/>
                <w:sz w:val="20"/>
              </w:rPr>
              <w:t>Petições e cidadãos</w:t>
            </w:r>
          </w:p>
        </w:tc>
      </w:tr>
      <w:tr>
        <w:tc>
          <w:tcPr>
            <w:tcW w:w="2835" w:type="dxa"/>
          </w:tcPr>
          <w:p>
            <w:pPr>
              <w:spacing w:after="60"/>
            </w:pPr>
            <w:r/>
            <w:r>
              <w:rPr>
                <w:b w:val="0"/>
                <w:sz w:val="20"/>
              </w:rPr>
              <w:t>Petição pública «Pela revisão da Legislação das Raças Potencialmente Perigosas» (subscritora: Eneida Cardoso) (sem data)</w:t>
            </w:r>
          </w:p>
        </w:tc>
        <w:tc>
          <w:tcPr>
            <w:tcW w:w="907" w:type="dxa"/>
          </w:tcPr>
          <w:p>
            <w:pPr>
              <w:spacing w:after="60"/>
            </w:pPr>
            <w:r/>
            <w:r>
              <w:rPr>
                <w:b w:val="0"/>
                <w:sz w:val="20"/>
              </w:rPr>
              <w:t>D</w:t>
            </w:r>
          </w:p>
        </w:tc>
        <w:tc>
          <w:tcPr>
            <w:tcW w:w="6860" w:type="dxa"/>
          </w:tcPr>
          <w:p>
            <w:pPr>
              <w:spacing w:after="60"/>
            </w:pPr>
            <w:r/>
            <w:r>
              <w:rPr>
                <w:b w:val="0"/>
                <w:sz w:val="20"/>
              </w:rPr>
              <w:t>Contesta a lista de raças e os critérios de tamanho e potência de mandíbula, e pede que os critérios sejam reavaliados por uma comissão independente. Critica a formação de 4 horas dos detentores, a certificação dos treinadores pela GNR e pela PSP e a prova de obediência desportiva exigida aos cães. Não trata da tipologia dos cruzamentos. Citação: «Reavaliação dos critérios e implicações subjacentes à definição de raças de cães perigosos e potencialmente perigosos através da criação de uma comissão independente e técnico-cientificamente validada».</w:t>
            </w:r>
          </w:p>
        </w:tc>
        <w:tc>
          <w:tcPr>
            <w:tcW w:w="3969" w:type="dxa"/>
          </w:tcPr>
          <w:p>
            <w:pPr>
              <w:spacing w:after="60"/>
            </w:pPr>
            <w:r/>
            <w:r>
              <w:rPr>
                <w:b w:val="0"/>
                <w:sz w:val="20"/>
              </w:rPr>
              <w:t>repositório: Projetos de lei/Petição - Pela revisão da Legislação das Raças Potencialmente Perigosas.pdf</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701" w:type="dxa"/>
          </w:tcPr>
          <w:p>
            <w:pPr>
              <w:spacing w:after="60"/>
            </w:pPr>
            <w:r/>
            <w:r>
              <w:rPr>
                <w:b w:val="0"/>
                <w:sz w:val="20"/>
              </w:rPr>
              <w:t>art. 50, art. 51, art. 52</w:t>
            </w:r>
          </w:p>
        </w:tc>
        <w:tc>
          <w:tcPr>
            <w:tcW w:w="6236"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701" w:type="dxa"/>
          </w:tcPr>
          <w:p>
            <w:pPr>
              <w:spacing w:after="60"/>
            </w:pPr>
            <w:r/>
            <w:r>
              <w:rPr>
                <w:b w:val="0"/>
                <w:sz w:val="20"/>
              </w:rPr>
              <w:t>art. 79, art. 120, art. 121</w:t>
            </w:r>
          </w:p>
        </w:tc>
        <w:tc>
          <w:tcPr>
            <w:tcW w:w="6236"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701" w:type="dxa"/>
          </w:tcPr>
          <w:p>
            <w:pPr>
              <w:spacing w:after="60"/>
            </w:pPr>
            <w:r/>
            <w:r>
              <w:rPr>
                <w:b w:val="0"/>
                <w:sz w:val="20"/>
              </w:rPr>
              <w:t>art. 110, art. 112, art. 113, art. 114</w:t>
            </w:r>
          </w:p>
        </w:tc>
        <w:tc>
          <w:tcPr>
            <w:tcW w:w="6236"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701" w:type="dxa"/>
          </w:tcPr>
          <w:p>
            <w:pPr>
              <w:spacing w:after="60"/>
            </w:pPr>
            <w:r/>
            <w:r>
              <w:rPr>
                <w:b w:val="0"/>
                <w:sz w:val="20"/>
              </w:rPr>
              <w:t>art. 137</w:t>
            </w:r>
          </w:p>
        </w:tc>
        <w:tc>
          <w:tcPr>
            <w:tcW w:w="6236"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701" w:type="dxa"/>
          </w:tcPr>
          <w:p>
            <w:pPr>
              <w:spacing w:after="60"/>
            </w:pPr>
            <w:r/>
            <w:r>
              <w:rPr>
                <w:b w:val="0"/>
                <w:sz w:val="20"/>
              </w:rPr>
              <w:t>art. 130, art. 131, art. 132, art. 134</w:t>
            </w:r>
          </w:p>
        </w:tc>
        <w:tc>
          <w:tcPr>
            <w:tcW w:w="6236"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p>
      <w:r>
        <w:rPr>
          <w:b w:val="0"/>
          <w:i w:val="0"/>
        </w:rPr>
        <w:t>Total: 22 lapsos, dos quais 22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17</w:t>
            </w:r>
          </w:p>
        </w:tc>
        <w:tc>
          <w:tcPr>
            <w:tcW w:w="1701" w:type="dxa"/>
          </w:tcPr>
          <w:p>
            <w:pPr>
              <w:spacing w:after="60"/>
            </w:pPr>
            <w:r/>
            <w:r>
              <w:rPr>
                <w:b w:val="0"/>
                <w:sz w:val="20"/>
              </w:rPr>
              <w:t>10</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69</w:t>
            </w:r>
          </w:p>
        </w:tc>
        <w:tc>
          <w:tcPr>
            <w:tcW w:w="1701" w:type="dxa"/>
          </w:tcPr>
          <w:p>
            <w:pPr>
              <w:spacing w:after="60"/>
            </w:pPr>
            <w:r/>
            <w:r>
              <w:rPr>
                <w:b/>
                <w:sz w:val="20"/>
              </w:rPr>
              <w:t>84</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 D-06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 D-07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E-01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E-02,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E-02, S-03,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E-02,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 D-02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 G-02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D-04, D-05,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D-01, D-06,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D-02, 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G-01,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E-01, G-01, G-02,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D-01, D-02, D-04,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D-01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D-01, D-06,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D-01,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Parcial</w:t>
            </w:r>
          </w:p>
        </w:tc>
        <w:tc>
          <w:tcPr>
            <w:tcW w:w="2268" w:type="dxa"/>
          </w:tcPr>
          <w:p>
            <w:pPr>
              <w:spacing w:after="60"/>
            </w:pPr>
            <w:r/>
            <w:r>
              <w:rPr>
                <w:b w:val="0"/>
                <w:sz w:val="20"/>
              </w:rPr>
              <w:t>D-03, D-05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D-01, D-03, D-06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D-02, D-04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Parcial</w:t>
            </w:r>
          </w:p>
        </w:tc>
        <w:tc>
          <w:tcPr>
            <w:tcW w:w="2268" w:type="dxa"/>
          </w:tcPr>
          <w:p>
            <w:pPr>
              <w:spacing w:after="60"/>
            </w:pPr>
            <w:r/>
            <w:r>
              <w:rPr>
                <w:b w:val="0"/>
                <w:sz w:val="20"/>
              </w:rPr>
              <w:t>D-03, D-07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Parcial</w:t>
            </w:r>
          </w:p>
        </w:tc>
        <w:tc>
          <w:tcPr>
            <w:tcW w:w="2268" w:type="dxa"/>
          </w:tcPr>
          <w:p>
            <w:pPr>
              <w:spacing w:after="60"/>
            </w:pPr>
            <w:r/>
            <w:r>
              <w:rPr>
                <w:b w:val="0"/>
                <w:sz w:val="20"/>
              </w:rPr>
              <w:t>D-07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Parcial</w:t>
            </w:r>
          </w:p>
        </w:tc>
        <w:tc>
          <w:tcPr>
            <w:tcW w:w="2268" w:type="dxa"/>
          </w:tcPr>
          <w:p>
            <w:pPr>
              <w:spacing w:after="60"/>
            </w:pPr>
            <w:r/>
            <w:r>
              <w:rPr>
                <w:b w:val="0"/>
                <w:sz w:val="20"/>
              </w:rPr>
              <w:t>D-03, D-05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S-04,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S-02, S-04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E-02,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D-05, S-01, S-04, F-01,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E-02, S-03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 S-02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 F-01, F-02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020" w:type="dxa"/>
          </w:tcPr>
          <w:p>
            <w:pPr>
              <w:spacing w:after="60"/>
            </w:pPr>
            <w:r/>
            <w:r>
              <w:rPr>
                <w:b w:val="0"/>
                <w:sz w:val="20"/>
              </w:rPr>
              <w:t>1.16</w:t>
            </w:r>
          </w:p>
        </w:tc>
        <w:tc>
          <w:tcPr>
            <w:tcW w:w="1417" w:type="dxa"/>
          </w:tcPr>
          <w:p>
            <w:pPr>
              <w:spacing w:after="60"/>
            </w:pPr>
            <w:r/>
            <w:r>
              <w:rPr>
                <w:b w:val="0"/>
                <w:sz w:val="20"/>
              </w:rPr>
              <w:t>13.10.2026</w:t>
            </w:r>
          </w:p>
        </w:tc>
        <w:tc>
          <w:tcPr>
            <w:tcW w:w="6633"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020" w:type="dxa"/>
          </w:tcPr>
          <w:p>
            <w:pPr>
              <w:spacing w:after="60"/>
            </w:pPr>
            <w:r/>
            <w:r>
              <w:rPr>
                <w:b w:val="0"/>
                <w:sz w:val="20"/>
              </w:rPr>
              <w:t>1.17</w:t>
            </w:r>
          </w:p>
        </w:tc>
        <w:tc>
          <w:tcPr>
            <w:tcW w:w="1417" w:type="dxa"/>
          </w:tcPr>
          <w:p>
            <w:pPr>
              <w:spacing w:after="60"/>
            </w:pPr>
            <w:r/>
            <w:r>
              <w:rPr>
                <w:b w:val="0"/>
                <w:sz w:val="20"/>
              </w:rPr>
              <w:t>13.10.2026</w:t>
            </w:r>
          </w:p>
        </w:tc>
        <w:tc>
          <w:tcPr>
            <w:tcW w:w="6633"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020" w:type="dxa"/>
          </w:tcPr>
          <w:p>
            <w:pPr>
              <w:spacing w:after="60"/>
            </w:pPr>
            <w:r/>
            <w:r>
              <w:rPr>
                <w:b w:val="0"/>
                <w:sz w:val="20"/>
              </w:rPr>
              <w:t>1.18</w:t>
            </w:r>
          </w:p>
        </w:tc>
        <w:tc>
          <w:tcPr>
            <w:tcW w:w="1417" w:type="dxa"/>
          </w:tcPr>
          <w:p>
            <w:pPr>
              <w:spacing w:after="60"/>
            </w:pPr>
            <w:r/>
            <w:r>
              <w:rPr>
                <w:b w:val="0"/>
                <w:sz w:val="20"/>
              </w:rPr>
              <w:t>13.10.2026</w:t>
            </w:r>
          </w:p>
        </w:tc>
        <w:tc>
          <w:tcPr>
            <w:tcW w:w="6633"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020" w:type="dxa"/>
          </w:tcPr>
          <w:p>
            <w:pPr>
              <w:spacing w:after="60"/>
            </w:pPr>
            <w:r/>
            <w:r>
              <w:rPr>
                <w:b w:val="0"/>
                <w:sz w:val="20"/>
              </w:rPr>
              <w:t>1.19</w:t>
            </w:r>
          </w:p>
        </w:tc>
        <w:tc>
          <w:tcPr>
            <w:tcW w:w="1417" w:type="dxa"/>
          </w:tcPr>
          <w:p>
            <w:pPr>
              <w:spacing w:after="60"/>
            </w:pPr>
            <w:r/>
            <w:r>
              <w:rPr>
                <w:b w:val="0"/>
                <w:sz w:val="20"/>
              </w:rPr>
              <w:t>13.10.2026</w:t>
            </w:r>
          </w:p>
        </w:tc>
        <w:tc>
          <w:tcPr>
            <w:tcW w:w="6633"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020" w:type="dxa"/>
          </w:tcPr>
          <w:p>
            <w:pPr>
              <w:spacing w:after="60"/>
            </w:pPr>
            <w:r/>
            <w:r>
              <w:rPr>
                <w:b w:val="0"/>
                <w:sz w:val="20"/>
              </w:rPr>
              <w:t>1.20</w:t>
            </w:r>
          </w:p>
        </w:tc>
        <w:tc>
          <w:tcPr>
            <w:tcW w:w="1417" w:type="dxa"/>
          </w:tcPr>
          <w:p>
            <w:pPr>
              <w:spacing w:after="60"/>
            </w:pPr>
            <w:r/>
            <w:r>
              <w:rPr>
                <w:b w:val="0"/>
                <w:sz w:val="20"/>
              </w:rPr>
              <w:t>13.10.2026</w:t>
            </w:r>
          </w:p>
        </w:tc>
        <w:tc>
          <w:tcPr>
            <w:tcW w:w="6633"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020" w:type="dxa"/>
          </w:tcPr>
          <w:p>
            <w:pPr>
              <w:spacing w:after="60"/>
            </w:pPr>
            <w:r/>
            <w:r>
              <w:rPr>
                <w:b w:val="0"/>
                <w:sz w:val="20"/>
              </w:rPr>
              <w:t>1.21</w:t>
            </w:r>
          </w:p>
        </w:tc>
        <w:tc>
          <w:tcPr>
            <w:tcW w:w="1417" w:type="dxa"/>
          </w:tcPr>
          <w:p>
            <w:pPr>
              <w:spacing w:after="60"/>
            </w:pPr>
            <w:r/>
            <w:r>
              <w:rPr>
                <w:b w:val="0"/>
                <w:sz w:val="20"/>
              </w:rPr>
              <w:t>13.10.2026</w:t>
            </w:r>
          </w:p>
        </w:tc>
        <w:tc>
          <w:tcPr>
            <w:tcW w:w="6633"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020" w:type="dxa"/>
          </w:tcPr>
          <w:p>
            <w:pPr>
              <w:spacing w:after="60"/>
            </w:pPr>
            <w:r/>
            <w:r>
              <w:rPr>
                <w:b w:val="0"/>
                <w:sz w:val="20"/>
              </w:rPr>
              <w:t>1.22</w:t>
            </w:r>
          </w:p>
        </w:tc>
        <w:tc>
          <w:tcPr>
            <w:tcW w:w="1417" w:type="dxa"/>
          </w:tcPr>
          <w:p>
            <w:pPr>
              <w:spacing w:after="60"/>
            </w:pPr>
            <w:r/>
            <w:r>
              <w:rPr>
                <w:b w:val="0"/>
                <w:sz w:val="20"/>
              </w:rPr>
              <w:t>14.10.2026</w:t>
            </w:r>
          </w:p>
        </w:tc>
        <w:tc>
          <w:tcPr>
            <w:tcW w:w="6633"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020" w:type="dxa"/>
          </w:tcPr>
          <w:p>
            <w:pPr>
              <w:spacing w:after="60"/>
            </w:pPr>
            <w:r/>
            <w:r>
              <w:rPr>
                <w:b w:val="0"/>
                <w:sz w:val="20"/>
              </w:rPr>
              <w:t>1.23</w:t>
            </w:r>
          </w:p>
        </w:tc>
        <w:tc>
          <w:tcPr>
            <w:tcW w:w="1417" w:type="dxa"/>
          </w:tcPr>
          <w:p>
            <w:pPr>
              <w:spacing w:after="60"/>
            </w:pPr>
            <w:r/>
            <w:r>
              <w:rPr>
                <w:b w:val="0"/>
                <w:sz w:val="20"/>
              </w:rPr>
              <w:t>14.10.2026</w:t>
            </w:r>
          </w:p>
        </w:tc>
        <w:tc>
          <w:tcPr>
            <w:tcW w:w="6633"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020" w:type="dxa"/>
          </w:tcPr>
          <w:p>
            <w:pPr>
              <w:spacing w:after="60"/>
            </w:pPr>
            <w:r/>
            <w:r>
              <w:rPr>
                <w:b w:val="0"/>
                <w:sz w:val="20"/>
              </w:rPr>
              <w:t>1.24</w:t>
            </w:r>
          </w:p>
        </w:tc>
        <w:tc>
          <w:tcPr>
            <w:tcW w:w="1417" w:type="dxa"/>
          </w:tcPr>
          <w:p>
            <w:pPr>
              <w:spacing w:after="60"/>
            </w:pPr>
            <w:r/>
            <w:r>
              <w:rPr>
                <w:b w:val="0"/>
                <w:sz w:val="20"/>
              </w:rPr>
              <w:t>20.10.2026</w:t>
            </w:r>
          </w:p>
        </w:tc>
        <w:tc>
          <w:tcPr>
            <w:tcW w:w="6633"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020" w:type="dxa"/>
          </w:tcPr>
          <w:p>
            <w:pPr>
              <w:spacing w:after="60"/>
            </w:pPr>
            <w:r/>
            <w:r>
              <w:rPr>
                <w:b w:val="0"/>
                <w:sz w:val="20"/>
              </w:rPr>
              <w:t>1.25</w:t>
            </w:r>
          </w:p>
        </w:tc>
        <w:tc>
          <w:tcPr>
            <w:tcW w:w="1417" w:type="dxa"/>
          </w:tcPr>
          <w:p>
            <w:pPr>
              <w:spacing w:after="60"/>
            </w:pPr>
            <w:r/>
            <w:r>
              <w:rPr>
                <w:b w:val="0"/>
                <w:sz w:val="20"/>
              </w:rPr>
              <w:t>21.10.2026</w:t>
            </w:r>
          </w:p>
        </w:tc>
        <w:tc>
          <w:tcPr>
            <w:tcW w:w="6633"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020" w:type="dxa"/>
          </w:tcPr>
          <w:p>
            <w:pPr>
              <w:spacing w:after="60"/>
            </w:pPr>
            <w:r/>
            <w:r>
              <w:rPr>
                <w:b w:val="0"/>
                <w:sz w:val="20"/>
              </w:rPr>
              <w:t>1.26</w:t>
            </w:r>
          </w:p>
        </w:tc>
        <w:tc>
          <w:tcPr>
            <w:tcW w:w="1417" w:type="dxa"/>
          </w:tcPr>
          <w:p>
            <w:pPr>
              <w:spacing w:after="60"/>
            </w:pPr>
            <w:r/>
            <w:r>
              <w:rPr>
                <w:b w:val="0"/>
                <w:sz w:val="20"/>
              </w:rPr>
              <w:t>21.10.2026</w:t>
            </w:r>
          </w:p>
        </w:tc>
        <w:tc>
          <w:tcPr>
            <w:tcW w:w="6633"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020" w:type="dxa"/>
          </w:tcPr>
          <w:p>
            <w:pPr>
              <w:spacing w:after="60"/>
            </w:pPr>
            <w:r/>
            <w:r>
              <w:rPr>
                <w:b w:val="0"/>
                <w:sz w:val="20"/>
              </w:rPr>
              <w:t>1.27</w:t>
            </w:r>
          </w:p>
        </w:tc>
        <w:tc>
          <w:tcPr>
            <w:tcW w:w="1417" w:type="dxa"/>
          </w:tcPr>
          <w:p>
            <w:pPr>
              <w:spacing w:after="60"/>
            </w:pPr>
            <w:r/>
            <w:r>
              <w:rPr>
                <w:b w:val="0"/>
                <w:sz w:val="20"/>
              </w:rPr>
              <w:t>21.10.2026</w:t>
            </w:r>
          </w:p>
        </w:tc>
        <w:tc>
          <w:tcPr>
            <w:tcW w:w="6633"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020" w:type="dxa"/>
          </w:tcPr>
          <w:p>
            <w:pPr>
              <w:spacing w:after="60"/>
            </w:pPr>
            <w:r/>
            <w:r>
              <w:rPr>
                <w:b w:val="0"/>
                <w:sz w:val="20"/>
              </w:rPr>
              <w:t>1.28</w:t>
            </w:r>
          </w:p>
        </w:tc>
        <w:tc>
          <w:tcPr>
            <w:tcW w:w="1417" w:type="dxa"/>
          </w:tcPr>
          <w:p>
            <w:pPr>
              <w:spacing w:after="60"/>
            </w:pPr>
            <w:r/>
            <w:r>
              <w:rPr>
                <w:b w:val="0"/>
                <w:sz w:val="20"/>
              </w:rPr>
              <w:t>22.10.2026</w:t>
            </w:r>
          </w:p>
        </w:tc>
        <w:tc>
          <w:tcPr>
            <w:tcW w:w="6633"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020" w:type="dxa"/>
          </w:tcPr>
          <w:p>
            <w:pPr>
              <w:spacing w:after="60"/>
            </w:pPr>
            <w:r/>
            <w:r>
              <w:rPr>
                <w:b w:val="0"/>
                <w:sz w:val="20"/>
              </w:rPr>
              <w:t>1.29</w:t>
            </w:r>
          </w:p>
        </w:tc>
        <w:tc>
          <w:tcPr>
            <w:tcW w:w="1417" w:type="dxa"/>
          </w:tcPr>
          <w:p>
            <w:pPr>
              <w:spacing w:after="60"/>
            </w:pPr>
            <w:r/>
            <w:r>
              <w:rPr>
                <w:b w:val="0"/>
                <w:sz w:val="20"/>
              </w:rPr>
              <w:t>22.10.2026</w:t>
            </w:r>
          </w:p>
        </w:tc>
        <w:tc>
          <w:tcPr>
            <w:tcW w:w="6633"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020" w:type="dxa"/>
          </w:tcPr>
          <w:p>
            <w:pPr>
              <w:spacing w:after="60"/>
            </w:pPr>
            <w:r/>
            <w:r>
              <w:rPr>
                <w:b w:val="0"/>
                <w:sz w:val="20"/>
              </w:rPr>
              <w:t>1.30</w:t>
            </w:r>
          </w:p>
        </w:tc>
        <w:tc>
          <w:tcPr>
            <w:tcW w:w="1417" w:type="dxa"/>
          </w:tcPr>
          <w:p>
            <w:pPr>
              <w:spacing w:after="60"/>
            </w:pPr>
            <w:r/>
            <w:r>
              <w:rPr>
                <w:b w:val="0"/>
                <w:sz w:val="20"/>
              </w:rPr>
              <w:t>22.10.2026</w:t>
            </w:r>
          </w:p>
        </w:tc>
        <w:tc>
          <w:tcPr>
            <w:tcW w:w="6633"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020" w:type="dxa"/>
          </w:tcPr>
          <w:p>
            <w:pPr>
              <w:spacing w:after="60"/>
            </w:pPr>
            <w:r/>
            <w:r>
              <w:rPr>
                <w:b w:val="0"/>
                <w:sz w:val="20"/>
              </w:rPr>
              <w:t>1.31</w:t>
            </w:r>
          </w:p>
        </w:tc>
        <w:tc>
          <w:tcPr>
            <w:tcW w:w="1417" w:type="dxa"/>
          </w:tcPr>
          <w:p>
            <w:pPr>
              <w:spacing w:after="60"/>
            </w:pPr>
            <w:r/>
            <w:r>
              <w:rPr>
                <w:b w:val="0"/>
                <w:sz w:val="20"/>
              </w:rPr>
              <w:t>22.10.2026</w:t>
            </w:r>
          </w:p>
        </w:tc>
        <w:tc>
          <w:tcPr>
            <w:tcW w:w="6633"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020" w:type="dxa"/>
          </w:tcPr>
          <w:p>
            <w:pPr>
              <w:spacing w:after="60"/>
            </w:pPr>
            <w:r/>
            <w:r>
              <w:rPr>
                <w:b w:val="0"/>
                <w:sz w:val="20"/>
              </w:rPr>
              <w:t>1.32</w:t>
            </w:r>
          </w:p>
        </w:tc>
        <w:tc>
          <w:tcPr>
            <w:tcW w:w="1417" w:type="dxa"/>
          </w:tcPr>
          <w:p>
            <w:pPr>
              <w:spacing w:after="60"/>
            </w:pPr>
            <w:r/>
            <w:r>
              <w:rPr>
                <w:b w:val="0"/>
                <w:sz w:val="20"/>
              </w:rPr>
              <w:t>22.10.2026</w:t>
            </w:r>
          </w:p>
        </w:tc>
        <w:tc>
          <w:tcPr>
            <w:tcW w:w="6633"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020" w:type="dxa"/>
          </w:tcPr>
          <w:p>
            <w:pPr>
              <w:spacing w:after="60"/>
            </w:pPr>
            <w:r/>
            <w:r>
              <w:rPr>
                <w:b w:val="0"/>
                <w:sz w:val="20"/>
              </w:rPr>
              <w:t>1.33</w:t>
            </w:r>
          </w:p>
        </w:tc>
        <w:tc>
          <w:tcPr>
            <w:tcW w:w="1417" w:type="dxa"/>
          </w:tcPr>
          <w:p>
            <w:pPr>
              <w:spacing w:after="60"/>
            </w:pPr>
            <w:r/>
            <w:r>
              <w:rPr>
                <w:b w:val="0"/>
                <w:sz w:val="20"/>
              </w:rPr>
              <w:t>23.10.2026</w:t>
            </w:r>
          </w:p>
        </w:tc>
        <w:tc>
          <w:tcPr>
            <w:tcW w:w="6633"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020" w:type="dxa"/>
          </w:tcPr>
          <w:p>
            <w:pPr>
              <w:spacing w:after="60"/>
            </w:pPr>
            <w:r/>
            <w:r>
              <w:rPr>
                <w:b w:val="0"/>
                <w:sz w:val="20"/>
              </w:rPr>
              <w:t>1.34</w:t>
            </w:r>
          </w:p>
        </w:tc>
        <w:tc>
          <w:tcPr>
            <w:tcW w:w="1417" w:type="dxa"/>
          </w:tcPr>
          <w:p>
            <w:pPr>
              <w:spacing w:after="60"/>
            </w:pPr>
            <w:r/>
            <w:r>
              <w:rPr>
                <w:b w:val="0"/>
                <w:sz w:val="20"/>
              </w:rPr>
              <w:t>23.10.2026</w:t>
            </w:r>
          </w:p>
        </w:tc>
        <w:tc>
          <w:tcPr>
            <w:tcW w:w="6633" w:type="dxa"/>
          </w:tcPr>
          <w:p>
            <w:pPr>
              <w:spacing w:after="60"/>
            </w:pPr>
            <w:r/>
            <w:r>
              <w:rPr>
                <w:b w:val="0"/>
                <w:sz w:val="20"/>
              </w:rPr>
              <w:t>Ficha nova D-03 (o treino começa entre os 6 e os 12 meses, o que não serve o cão classificado como perigoso já adulto). O DL 315/2009, art. 21.º, n.º 2, e o RGAC, art. 128.º, n.º 2, não preveem prazo para o cão classificado depois dos 12 meses nem dispensa por idade ou saúde, ao contrário da esterilização (art. 126.º, n.º 6). Origem: pedido de esclarecimento de uma associação zoófila.</w:t>
            </w:r>
          </w:p>
        </w:tc>
      </w:tr>
      <w:tr>
        <w:tc>
          <w:tcPr>
            <w:tcW w:w="1020" w:type="dxa"/>
          </w:tcPr>
          <w:p>
            <w:pPr>
              <w:spacing w:after="60"/>
            </w:pPr>
            <w:r/>
            <w:r>
              <w:rPr>
                <w:b w:val="0"/>
                <w:sz w:val="20"/>
              </w:rPr>
              <w:t>1.35</w:t>
            </w:r>
          </w:p>
        </w:tc>
        <w:tc>
          <w:tcPr>
            <w:tcW w:w="1417" w:type="dxa"/>
          </w:tcPr>
          <w:p>
            <w:pPr>
              <w:spacing w:after="60"/>
            </w:pPr>
            <w:r/>
            <w:r>
              <w:rPr>
                <w:b w:val="0"/>
                <w:sz w:val="20"/>
              </w:rPr>
              <w:t>23.10.2026</w:t>
            </w:r>
          </w:p>
        </w:tc>
        <w:tc>
          <w:tcPr>
            <w:tcW w:w="6633" w:type="dxa"/>
          </w:tcPr>
          <w:p>
            <w:pPr>
              <w:spacing w:after="60"/>
            </w:pPr>
            <w:r/>
            <w:r>
              <w:rPr>
                <w:b w:val="0"/>
                <w:sz w:val="20"/>
              </w:rPr>
              <w:t>Ficha nova D-04 (na cedência de cão perigoso, o cedente não informa nem entrega nada, e o novo detentor fica com o atraso). As omissões do cedente continuam a ser dele (DL 9/2021, art. 36.º), mas nem o DL 315/2009 nem o RGAC regulam a cedência de cão perigoso; o art. 110.º, n.º 2 não fixa prazo de licença para o novo titular e o art. 127.º, n.º 3 deixa cair a licença na entrega de cão potencialmente perigoso. Origem: pedido de esclarecimento de uma associação zoófila.</w:t>
            </w:r>
          </w:p>
        </w:tc>
      </w:tr>
      <w:tr>
        <w:tc>
          <w:tcPr>
            <w:tcW w:w="1020" w:type="dxa"/>
          </w:tcPr>
          <w:p>
            <w:pPr>
              <w:spacing w:after="60"/>
            </w:pPr>
            <w:r/>
            <w:r>
              <w:rPr>
                <w:b w:val="0"/>
                <w:sz w:val="20"/>
              </w:rPr>
              <w:t>1.36</w:t>
            </w:r>
          </w:p>
        </w:tc>
        <w:tc>
          <w:tcPr>
            <w:tcW w:w="1417" w:type="dxa"/>
          </w:tcPr>
          <w:p>
            <w:pPr>
              <w:spacing w:after="60"/>
            </w:pPr>
            <w:r/>
            <w:r>
              <w:rPr>
                <w:b w:val="0"/>
                <w:sz w:val="20"/>
              </w:rPr>
              <w:t>23.10.2026</w:t>
            </w:r>
          </w:p>
        </w:tc>
        <w:tc>
          <w:tcPr>
            <w:tcW w:w="6633" w:type="dxa"/>
          </w:tcPr>
          <w:p>
            <w:pPr>
              <w:spacing w:after="60"/>
            </w:pPr>
            <w:r/>
            <w:r>
              <w:rPr>
                <w:b w:val="0"/>
                <w:sz w:val="20"/>
              </w:rPr>
              <w:t>Ficha nova D-05 (o registo do treino no SIAC fica sem perfil de acesso, sem coima e sem regime transitório). O art. 135.º, n.º 2 cria o depósito do treino no SIAC, mas nada dá aos treinadores perfil de acesso, o art. 140.º não pune a falta de registo nem a falta de treino (hoje DL 315/2009, art. 38.º, n.º 1, als. m) e p)) e não há regime para os treinos já feitos. Origem: proposta de depósito central dos comprovativos de treino.</w:t>
            </w:r>
          </w:p>
        </w:tc>
      </w:tr>
      <w:tr>
        <w:tc>
          <w:tcPr>
            <w:tcW w:w="1020" w:type="dxa"/>
          </w:tcPr>
          <w:p>
            <w:pPr>
              <w:spacing w:after="60"/>
            </w:pPr>
            <w:r/>
            <w:r>
              <w:rPr>
                <w:b w:val="0"/>
                <w:sz w:val="20"/>
              </w:rPr>
              <w:t>1.37</w:t>
            </w:r>
          </w:p>
        </w:tc>
        <w:tc>
          <w:tcPr>
            <w:tcW w:w="1417" w:type="dxa"/>
          </w:tcPr>
          <w:p>
            <w:pPr>
              <w:spacing w:after="60"/>
            </w:pPr>
            <w:r/>
            <w:r>
              <w:rPr>
                <w:b w:val="0"/>
                <w:sz w:val="20"/>
              </w:rPr>
              <w:t>23.10.2026</w:t>
            </w:r>
          </w:p>
        </w:tc>
        <w:tc>
          <w:tcPr>
            <w:tcW w:w="6633" w:type="dxa"/>
          </w:tcPr>
          <w:p>
            <w:pPr>
              <w:spacing w:after="60"/>
            </w:pPr>
            <w:r/>
            <w:r>
              <w:rPr>
                <w:b w:val="0"/>
                <w:sz w:val="20"/>
              </w:rPr>
              <w:t>Ficha nova D-06 (nada diz quem decide se um cão é cruzamento de raça potencialmente perigosa, com que critério, nem como se contesta). O DL 315/2009, art. 3.º, al. c), fala de «tipologia semelhante» sem critério nem decisor; o RGAC diz só que a classificação é determinada pelo registo SIAC (art. 79.º, n.º 7) e não prevê revisão, ao contrário do cão perigoso (art. 120.º, n.º 5). Origem: consulta sobre a classificação de cruzamentos.</w:t>
            </w:r>
          </w:p>
        </w:tc>
      </w:tr>
      <w:tr>
        <w:tc>
          <w:tcPr>
            <w:tcW w:w="1020" w:type="dxa"/>
          </w:tcPr>
          <w:p>
            <w:pPr>
              <w:spacing w:after="60"/>
            </w:pPr>
            <w:r/>
            <w:r>
              <w:rPr>
                <w:b w:val="0"/>
                <w:sz w:val="20"/>
              </w:rPr>
              <w:t>1.38</w:t>
            </w:r>
          </w:p>
        </w:tc>
        <w:tc>
          <w:tcPr>
            <w:tcW w:w="1417" w:type="dxa"/>
          </w:tcPr>
          <w:p>
            <w:pPr>
              <w:spacing w:after="60"/>
            </w:pPr>
            <w:r/>
            <w:r>
              <w:rPr>
                <w:b w:val="0"/>
                <w:sz w:val="20"/>
              </w:rPr>
              <w:t>23.10.2026</w:t>
            </w:r>
          </w:p>
        </w:tc>
        <w:tc>
          <w:tcPr>
            <w:tcW w:w="6633" w:type="dxa"/>
          </w:tcPr>
          <w:p>
            <w:pPr>
              <w:spacing w:after="60"/>
            </w:pPr>
            <w:r/>
            <w:r>
              <w:rPr>
                <w:b w:val="0"/>
                <w:sz w:val="20"/>
              </w:rPr>
              <w:t>Ficha D-06 completada com posições externas: acórdão do Tribunal da Relação de Évora de 25.5.2021 (cão de raça indeterminada afastado do regime sem apreciar a tipologia) e artigo de Maria Joana de Antas de Barros na RJLB (2023). A proposta passa a referir os modelos de Espanha (Real Decreto 287/2002, anexo II) e do Reino Unido (padrão de conformação do XL Bully, Defra, 2023). Fontes novas na bibliografia.</w:t>
            </w:r>
          </w:p>
        </w:tc>
      </w:tr>
      <w:tr>
        <w:tc>
          <w:tcPr>
            <w:tcW w:w="1020" w:type="dxa"/>
          </w:tcPr>
          <w:p>
            <w:pPr>
              <w:spacing w:after="60"/>
            </w:pPr>
            <w:r/>
            <w:r>
              <w:rPr>
                <w:b w:val="0"/>
                <w:sz w:val="20"/>
              </w:rPr>
              <w:t>1.39</w:t>
            </w:r>
          </w:p>
        </w:tc>
        <w:tc>
          <w:tcPr>
            <w:tcW w:w="1417" w:type="dxa"/>
          </w:tcPr>
          <w:p>
            <w:pPr>
              <w:spacing w:after="60"/>
            </w:pPr>
            <w:r/>
            <w:r>
              <w:rPr>
                <w:b w:val="0"/>
                <w:sz w:val="20"/>
              </w:rPr>
              <w:t>23.10.2026</w:t>
            </w:r>
          </w:p>
        </w:tc>
        <w:tc>
          <w:tcPr>
            <w:tcW w:w="6633" w:type="dxa"/>
          </w:tcPr>
          <w:p>
            <w:pPr>
              <w:spacing w:after="60"/>
            </w:pPr>
            <w:r/>
            <w:r>
              <w:rPr>
                <w:b w:val="0"/>
                <w:sz w:val="20"/>
              </w:rPr>
              <w:t>O Anexo B deixa de estar limitado aos temas T e C: a coluna Tema aceita as letras dos capítulos e a legenda passa a listar só as letras usadas; o gerador recusa letras que não existam. Quatro posições novas no tema D, sobre a tipologia dos cruzamentos (ficha D-06): RJLB 2023, Tribunal da Relação de Évora (25.5.2021), Real Decreto 287/2002 (Espanha) e padrão de conformação do XL Bully (Defra, Reino Unido). Novo grupo: Administrações estrangeiras.</w:t>
            </w:r>
          </w:p>
        </w:tc>
      </w:tr>
      <w:tr>
        <w:tc>
          <w:tcPr>
            <w:tcW w:w="1020" w:type="dxa"/>
          </w:tcPr>
          <w:p>
            <w:pPr>
              <w:spacing w:after="60"/>
            </w:pPr>
            <w:r/>
            <w:r>
              <w:rPr>
                <w:b w:val="0"/>
                <w:sz w:val="20"/>
              </w:rPr>
              <w:t>1.40</w:t>
            </w:r>
          </w:p>
        </w:tc>
        <w:tc>
          <w:tcPr>
            <w:tcW w:w="1417" w:type="dxa"/>
          </w:tcPr>
          <w:p>
            <w:pPr>
              <w:spacing w:after="60"/>
            </w:pPr>
            <w:r/>
            <w:r>
              <w:rPr>
                <w:b w:val="0"/>
                <w:sz w:val="20"/>
              </w:rPr>
              <w:t>23.10.2026</w:t>
            </w:r>
          </w:p>
        </w:tc>
        <w:tc>
          <w:tcPr>
            <w:tcW w:w="6633" w:type="dxa"/>
          </w:tcPr>
          <w:p>
            <w:pPr>
              <w:spacing w:after="60"/>
            </w:pPr>
            <w:r/>
            <w:r>
              <w:rPr>
                <w:b w:val="0"/>
                <w:sz w:val="20"/>
              </w:rPr>
              <w:t>Petição pública «Pela revisão da Legislação das Raças Potencialmente Perigosas» lida e guardada no repositório. Entra no Anexo B (tema D, grupo Petições e cidadãos), na ficha D-06 e na ficha nova D-07 (a certificação dos treinadores inclui defesa e mordedura, e nada diz o que o treino do cão deve atingir nem como se avalia). O RGAC fixa a Portaria 317/2015 no art. 133.º, n.º 3 e mantém o treino sem objetivos nem avaliação (art. 128.º).</w:t>
            </w:r>
          </w:p>
        </w:tc>
      </w:tr>
    </w:tbl>
    <w:p>
      <w:pPr>
        <w:pStyle w:val="Heading1"/>
      </w:pPr>
      <w:r>
        <w:rPr>
          <w:i w:val="0"/>
          <w:color w:val="000000"/>
        </w:rPr>
        <w:t>Bibliografia</w:t>
      </w:r>
    </w:p>
    <w:p>
      <w:r>
        <w:rPr>
          <w:b w:val="0"/>
          <w:i w:val="0"/>
        </w:rPr>
        <w:t>Todas as ligações foram verificadas em 23.10.2026.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spacing w:after="80"/>
        <w:ind w:left="454" w:hanging="454"/>
      </w:pPr>
      <w:r>
        <w:rPr>
          <w:b w:val="0"/>
          <w:i w:val="0"/>
        </w:rPr>
        <w:t xml:space="preserve">Espanha, Real Decreto 287/2002, de 22 de março (perros potencialmente peligrosos), Boletín Oficial del Estado n.º 74, 27.3.2002, anexo II. </w:t>
      </w:r>
      <w:hyperlink r:id="rId36">
        <w:r>
          <w:rPr>
            <w:u w:val="single"/>
          </w:rPr>
          <w:t xml:space="preserve">https://boe.es/boe/dias/2002/03/27/pdfs/A12290-12292.pdf</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7">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8">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9">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spacing w:after="80"/>
        <w:ind w:left="454" w:hanging="454"/>
      </w:pPr>
      <w:r>
        <w:rPr>
          <w:b w:val="0"/>
          <w:i w:val="0"/>
        </w:rPr>
        <w:t xml:space="preserve">Petição pública «Pela revisão da Legislação das Raças Potencialmente Perigosas» (subscritora: Eneida Cardoso), dirigida ao Presidente da Assembleia da República, sem data. </w:t>
      </w:r>
      <w:r>
        <w:t>Repositório: Projetos de lei/Petição - Pela revisão da Legislação das Raças Potencialmente Perigosas.pdf.</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40">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50">
        <w:r>
          <w:rPr>
            <w:u w:val="single"/>
          </w:rPr>
          <w:t xml:space="preserve">https://www.dgav.pt/wp-content/uploads/2026/03/Relatorio_CROs_2025_31032026-rev.pdf</w:t>
        </w:r>
      </w:hyperlink>
    </w:p>
    <w:p>
      <w:pPr>
        <w:spacing w:after="80"/>
        <w:ind w:left="454" w:hanging="454"/>
      </w:pPr>
      <w:r>
        <w:rPr>
          <w:b w:val="0"/>
          <w:i w:val="0"/>
        </w:rPr>
        <w:t xml:space="preserve">Reino Unido, Defra, «Official definition of an XL Bully dog» (padrão de conformação), 31.10.2023, atualizado em 1.2.2024. </w:t>
      </w:r>
      <w:hyperlink r:id="rId51">
        <w:r>
          <w:rPr>
            <w:u w:val="single"/>
          </w:rPr>
          <w:t xml:space="preserve">https://www.gov.uk/government/publications/official-definition-of-an-xl-bully-dog</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2">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6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6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8">
        <w:r>
          <w:rPr>
            <w:u w:val="single"/>
          </w:rPr>
          <w:t xml:space="preserve">https://cej.justica.gov.pt/LinkClick.aspx?fileticket=VpuQj7jZ-us%3D&amp;portalid=30</w:t>
        </w:r>
      </w:hyperlink>
    </w:p>
    <w:p>
      <w:pPr>
        <w:spacing w:after="80"/>
        <w:ind w:left="454" w:hanging="454"/>
      </w:pPr>
      <w:r>
        <w:rPr>
          <w:b w:val="0"/>
          <w:i w:val="0"/>
        </w:rPr>
        <w:t xml:space="preserve">Maria Joana de Antas de Barros, «O estranho caso dos cães de raça "potencialmente perigosa"», Revista Jurídica Luso-Brasileira, ano 9 (2023), n.º 3, pp. 1215-1242. </w:t>
      </w:r>
      <w:hyperlink r:id="rId69">
        <w:r>
          <w:rPr>
            <w:u w:val="single"/>
          </w:rPr>
          <w:t xml:space="preserve">https://www.cidp.pt/revistas/rjlb/2023/3/2023_03_1215_1242.pdf</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70">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71">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72">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3">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4">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5">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6">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7">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8">
        <w:r>
          <w:rPr>
            <w:u w:val="single"/>
          </w:rPr>
          <w:t xml:space="preserve">https://www.dgsi.pt/jtrp.nsf/56a6e7121657f91e80257cda00381fdf/703e8b815ea39ece80258b34004b8157</w:t>
        </w:r>
      </w:hyperlink>
    </w:p>
    <w:p>
      <w:pPr>
        <w:spacing w:after="80"/>
        <w:ind w:left="454" w:hanging="454"/>
      </w:pPr>
      <w:r>
        <w:rPr>
          <w:b w:val="0"/>
          <w:i w:val="0"/>
        </w:rPr>
        <w:t xml:space="preserve">Tribunal da Relação de Évora, acórdão de 25.5.2021, proc. 245/19.0GCSTR.E1 (cão de raça indeterminada e regime dos animais potencialmente perigosos). </w:t>
      </w:r>
      <w:hyperlink r:id="rId79">
        <w:r>
          <w:rPr>
            <w:u w:val="single"/>
          </w:rPr>
          <w:t xml:space="preserve">https://jurisprudencia.pt/acordao/200915/</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80">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81">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82">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83">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4">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5">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6">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7">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1.40.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boe.es/boe/dias/2002/03/27/pdfs/A12290-12292.pdf" TargetMode="External"/><Relationship Id="rId37" Type="http://schemas.openxmlformats.org/officeDocument/2006/relationships/hyperlink" Target="https://anmp.pt/file-viewer/?pstid=41508" TargetMode="External"/><Relationship Id="rId38"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9"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40" Type="http://schemas.openxmlformats.org/officeDocument/2006/relationships/hyperlink" Target="https://www.dgav.pt/animais/conteudo/recursos-geneticos-animais/racas-autoctones/" TargetMode="External"/><Relationship Id="rId41" Type="http://schemas.openxmlformats.org/officeDocument/2006/relationships/hyperlink" Target="https://www.icnf.pt/api/file/doc/41f8f44aee23be1a" TargetMode="External"/><Relationship Id="rId42" Type="http://schemas.openxmlformats.org/officeDocument/2006/relationships/hyperlink" Target="https://www.dgav.pt/wp-content/uploads/2021/08/Relatorio-FINAL-avaliacao-da-implementacao-da-Lei-27-2016.pdf" TargetMode="External"/><Relationship Id="rId43" Type="http://schemas.openxmlformats.org/officeDocument/2006/relationships/hyperlink" Target="https://www.provedor-jus.pt/documentos/082A_96.pdf" TargetMode="External"/><Relationship Id="rId44" Type="http://schemas.openxmlformats.org/officeDocument/2006/relationships/hyperlink" Target="https://www.provedor-jus.pt/documentos/canideos-captura-alojamento-e-abate/" TargetMode="External"/><Relationship Id="rId45" Type="http://schemas.openxmlformats.org/officeDocument/2006/relationships/hyperlink" Target="https://www.provedor-jus.pt/documentos/ambiente-salubridade-habitacao-acumulacao-de-residuos-saude-mental-sindrome-de-diogenes-004-a-2013/" TargetMode="External"/><Relationship Id="rId46" Type="http://schemas.openxmlformats.org/officeDocument/2006/relationships/hyperlink" Target="https://www.provedor-jus.pt/documentos/Relat2020%20_Relatorio.pdf" TargetMode="External"/><Relationship Id="rId47" Type="http://schemas.openxmlformats.org/officeDocument/2006/relationships/hyperlink" Target="https://www.provedor-jus.pt/documentos/Relatorio%202023.pdf" TargetMode="External"/><Relationship Id="rId48" Type="http://schemas.openxmlformats.org/officeDocument/2006/relationships/hyperlink" Target="https://food.ec.europa.eu/document/download/caf8cd1d-967a-4e60-a0e5-19401be1c6b3_en?filename=aw_awp_leg_dog-cat_swd-2024-88.pdf" TargetMode="External"/><Relationship Id="rId49" Type="http://schemas.openxmlformats.org/officeDocument/2006/relationships/hyperlink" Target="https://www.woah.org/fileadmin/Home/eng/Health_standards/tahc/2023/chapitre_aw_stray_dog.pdf" TargetMode="External"/><Relationship Id="rId50" Type="http://schemas.openxmlformats.org/officeDocument/2006/relationships/hyperlink" Target="https://www.dgav.pt/wp-content/uploads/2026/03/Relatorio_CROs_2025_31032026-rev.pdf" TargetMode="External"/><Relationship Id="rId51" Type="http://schemas.openxmlformats.org/officeDocument/2006/relationships/hyperlink" Target="https://www.gov.uk/government/publications/official-definition-of-an-xl-bully-dog" TargetMode="External"/><Relationship Id="rId52" Type="http://schemas.openxmlformats.org/officeDocument/2006/relationships/hyperlink" Target="https://www.cpc.pt/wp-content/uploads/2020/12/lop_ri.pdf" TargetMode="External"/><Relationship Id="rId53" Type="http://schemas.openxmlformats.org/officeDocument/2006/relationships/hyperlink" Target="https://www.omv.pt/dmdocuments/vi_formacao_omv/abandono_animais_camv_ultimoparecer_nov2015.pdf" TargetMode="External"/><Relationship Id="rId5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5" Type="http://schemas.openxmlformats.org/officeDocument/2006/relationships/hyperlink" Target="https://apmveac.pt/wp-content/uploads/2021/04/Legislacao.Animais.Companhia_09-04-2021-amarelo-final-.pdf" TargetMode="External"/><Relationship Id="rId56" Type="http://schemas.openxmlformats.org/officeDocument/2006/relationships/hyperlink" Target="https://apmveac.pt/wp-content/uploads/2023/09/Parecer-APMVEAC-Consulta-Publica-ENAE.pdf" TargetMode="External"/><Relationship Id="rId57" Type="http://schemas.openxmlformats.org/officeDocument/2006/relationships/hyperlink" Target="https://www.arpa-associacao.pt/media/attachments/2022/12/14/parecer-arpa-versAo-4-final.pdf" TargetMode="External"/><Relationship Id="rId58" Type="http://schemas.openxmlformats.org/officeDocument/2006/relationships/hyperlink" Target="https://www.spea.pt/wp-content/uploads/2020/09/ParecerSPEA_Planos-Gestao-Parques-Naturais-Ilha-2020.pdf" TargetMode="External"/><Relationship Id="rId59" Type="http://schemas.openxmlformats.org/officeDocument/2006/relationships/hyperlink" Target="https://spea.pt/um-gato-feliz-e-alimentado-mantem-o-passarinho-afastado/" TargetMode="External"/><Relationship Id="rId60" Type="http://schemas.openxmlformats.org/officeDocument/2006/relationships/hyperlink" Target="https://matilhascoimbra.pt/pages/projecto-2" TargetMode="External"/><Relationship Id="rId61" Type="http://schemas.openxmlformats.org/officeDocument/2006/relationships/hyperlink" Target="https://www.pan.com.pt/pan-destaca-vitorias-no-bem-estar-animal-mas-denuncia-retrocesso-grave-no-orcamento-do-estado-para-2026/" TargetMode="External"/><Relationship Id="rId62" Type="http://schemas.openxmlformats.org/officeDocument/2006/relationships/hyperlink" Target="https://www.pcp.pt/solucao-prevencao-pela-esterilizacao-rede-publica-de-veterinarios-nao-abate-de-animais-abandonados" TargetMode="External"/><Relationship Id="rId63" Type="http://schemas.openxmlformats.org/officeDocument/2006/relationships/hyperlink" Target="https://www.pcp.pt/campanha-nacional-de-esterilizacao-de-animais-errantes-0" TargetMode="External"/><Relationship Id="rId64" Type="http://schemas.openxmlformats.org/officeDocument/2006/relationships/hyperlink" Target="https://programa.partidolivre.pt/propostas/N.13/" TargetMode="External"/><Relationship Id="rId65" Type="http://schemas.openxmlformats.org/officeDocument/2006/relationships/hyperlink" Target="https://maratonapelosanimais.pt/wp-content/uploads/2024/03/respostas-completas.pdf" TargetMode="External"/><Relationship Id="rId66" Type="http://schemas.openxmlformats.org/officeDocument/2006/relationships/hyperlink" Target="https://www.cidp.pt/revistas/rjlb/2019/2/2019_02_0077_0095.pdf" TargetMode="External"/><Relationship Id="rId67" Type="http://schemas.openxmlformats.org/officeDocument/2006/relationships/hyperlink" Target="https://www.cidp.pt/revistas/rjlb/2019/2/2019_02_0305_0348.pdf" TargetMode="External"/><Relationship Id="rId68" Type="http://schemas.openxmlformats.org/officeDocument/2006/relationships/hyperlink" Target="https://cej.justica.gov.pt/LinkClick.aspx?fileticket=VpuQj7jZ-us%3D&amp;portalid=30" TargetMode="External"/><Relationship Id="rId69" Type="http://schemas.openxmlformats.org/officeDocument/2006/relationships/hyperlink" Target="https://www.cidp.pt/revistas/rjlb/2023/3/2023_03_1215_1242.pdf" TargetMode="External"/><Relationship Id="rId70" Type="http://schemas.openxmlformats.org/officeDocument/2006/relationships/hyperlink" Target="https://jurisprudencia.pt/acordao/76412/" TargetMode="External"/><Relationship Id="rId71" Type="http://schemas.openxmlformats.org/officeDocument/2006/relationships/hyperlink" Target="https://trc.pt/responsabilidade-civil-danos-causados-por-animais-dever-de-vigilancia/" TargetMode="External"/><Relationship Id="rId72" Type="http://schemas.openxmlformats.org/officeDocument/2006/relationships/hyperlink" Target="https://jurisprudencia.pt/acordao/128487/" TargetMode="External"/><Relationship Id="rId73" Type="http://schemas.openxmlformats.org/officeDocument/2006/relationships/hyperlink" Target="https://www.tribunalconstitucional.pt/tc/acordaos/20210867.html" TargetMode="External"/><Relationship Id="rId74" Type="http://schemas.openxmlformats.org/officeDocument/2006/relationships/hyperlink" Target="https://www.tribunalconstitucional.pt/tc/acordaos/20240070.html" TargetMode="External"/><Relationship Id="rId75" Type="http://schemas.openxmlformats.org/officeDocument/2006/relationships/hyperlink" Target="https://jurisprudencia.pt/acordao/221373/" TargetMode="External"/><Relationship Id="rId76" Type="http://schemas.openxmlformats.org/officeDocument/2006/relationships/hyperlink" Target="https://www.tribunalconstitucional.pt/tc/acordaos/20240478.html" TargetMode="External"/><Relationship Id="rId77" Type="http://schemas.openxmlformats.org/officeDocument/2006/relationships/hyperlink" Target="https://www.dgsi.pt/jtrl.nsf/33182fc732316039802565fa00497eec/7462ba7a0546bac680258c8b0049a31e?OpenDocument" TargetMode="External"/><Relationship Id="rId78" Type="http://schemas.openxmlformats.org/officeDocument/2006/relationships/hyperlink" Target="https://www.dgsi.pt/jtrp.nsf/56a6e7121657f91e80257cda00381fdf/703e8b815ea39ece80258b34004b8157" TargetMode="External"/><Relationship Id="rId79" Type="http://schemas.openxmlformats.org/officeDocument/2006/relationships/hyperlink" Target="https://jurisprudencia.pt/acordao/200915/" TargetMode="External"/><Relationship Id="rId80" Type="http://schemas.openxmlformats.org/officeDocument/2006/relationships/hyperlink" Target="https://www.nature.com/articles/ncomms2380" TargetMode="External"/><Relationship Id="rId81" Type="http://schemas.openxmlformats.org/officeDocument/2006/relationships/hyperlink" Target="https://doi.org/10.2460/javma.2005.227.1775" TargetMode="External"/><Relationship Id="rId82" Type="http://schemas.openxmlformats.org/officeDocument/2006/relationships/hyperlink" Target="https://www.frontiersin.org/journals/veterinary-science/articles/10.3389/fvets.2019.00238/full" TargetMode="External"/><Relationship Id="rId83" Type="http://schemas.openxmlformats.org/officeDocument/2006/relationships/hyperlink" Target="https://www.frontiersin.org/journals/veterinary-science/articles/10.3389/fvets.2019.00077/full" TargetMode="External"/><Relationship Id="rId84" Type="http://schemas.openxmlformats.org/officeDocument/2006/relationships/hyperlink" Target="https://doi.org/10.1093/jel/eqz035" TargetMode="External"/><Relationship Id="rId85" Type="http://schemas.openxmlformats.org/officeDocument/2006/relationships/hyperlink" Target="https://pmc.ncbi.nlm.nih.gov/articles/PMC9169806/" TargetMode="External"/><Relationship Id="rId86" Type="http://schemas.openxmlformats.org/officeDocument/2006/relationships/hyperlink" Target="https://pmc.ncbi.nlm.nih.gov/articles/PMC11939513/" TargetMode="External"/><Relationship Id="rId87" Type="http://schemas.openxmlformats.org/officeDocument/2006/relationships/hyperlink" Target="https://dspace.uevora.pt/rdpc/bitstream/10174/38522/1/Gal%C3%A3o%20et%20al_2025_When%20pets%20go%20wild.pdf" TargetMode="External"/><Relationship Id="rId8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