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1.40</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P-53. Associação titular de cão perigoso: falta a regra da licença e a adoção fica entre duas normas contrárias (art. 110.º)</w:t>
      </w:r>
    </w:p>
    <w:p>
      <w:pPr>
        <w:spacing w:after="0"/>
        <w:ind w:left="567"/>
      </w:pPr>
      <w:r>
        <w:rPr>
          <w:b w:val="0"/>
          <w:i w:val="0"/>
        </w:rPr>
        <w:t>P-49. Duas vias para retirar a classificação de perigoso, sem ligação entre elas (art. 120.º)</w:t>
      </w:r>
    </w:p>
    <w:p>
      <w:pPr>
        <w:spacing w:after="0"/>
        <w:ind w:left="567"/>
      </w:pPr>
      <w:r>
        <w:rPr>
          <w:b w:val="0"/>
          <w:i w:val="0"/>
        </w:rPr>
        <w:t>P-57. Nada diz quem decide se um cão é cruzamento de raça potencialmente perigosa, com que critério, nem como se contesta (art. 120.º)</w:t>
      </w:r>
    </w:p>
    <w:p>
      <w:pPr>
        <w:spacing w:after="0"/>
        <w:ind w:left="567"/>
      </w:pPr>
      <w:r>
        <w:rPr>
          <w:b w:val="0"/>
          <w:i w:val="0"/>
        </w:rPr>
        <w:t>P-55. Na cedência de cão perigoso, o cedente não informa nem entrega nada, e o novo detentor fica com o atraso (art. 127.º)</w:t>
      </w:r>
    </w:p>
    <w:p>
      <w:pPr>
        <w:spacing w:after="0"/>
        <w:ind w:left="567"/>
      </w:pPr>
      <w:r>
        <w:rPr>
          <w:b w:val="0"/>
          <w:i w:val="0"/>
        </w:rPr>
        <w:t>P-54. O treino começa entre os 6 e os 12 meses, o que não serve o cão classificado como perigoso já adulto (art. 128.º)</w:t>
      </w:r>
    </w:p>
    <w:p>
      <w:pPr>
        <w:spacing w:after="0"/>
        <w:ind w:left="567"/>
      </w:pPr>
      <w:r>
        <w:rPr>
          <w:b w:val="0"/>
          <w:i w:val="0"/>
        </w:rPr>
        <w:t>P-58. A certificação dos treinadores inclui defesa e mordedura, e nada diz o que o treino do cão deve atingir nem como se avalia (art. 133.º)</w:t>
      </w:r>
    </w:p>
    <w:p>
      <w:pPr>
        <w:spacing w:after="0"/>
        <w:ind w:left="567"/>
      </w:pPr>
      <w:r>
        <w:rPr>
          <w:b w:val="0"/>
          <w:i w:val="0"/>
        </w:rPr>
        <w:t>P-56.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P-53, P-55,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P-53.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P-08, P-49</w:t>
            </w:r>
          </w:p>
        </w:tc>
      </w:tr>
    </w:tbl>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P-57.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w:t>
            </w:r>
          </w:p>
          <w:p>
            <w:pPr>
              <w:spacing w:after="60"/>
            </w:pPr>
            <w:r>
              <w:rPr>
                <w:b w:val="0"/>
                <w:sz w:val="20"/>
              </w:rPr>
              <w:t>art. 79.º, n.º 7</w:t>
            </w:r>
          </w:p>
          <w:p>
            <w:pPr>
              <w:spacing w:after="60"/>
            </w:pPr>
            <w:r>
              <w:rPr>
                <w:b w:val="0"/>
                <w:sz w:val="20"/>
              </w:rPr>
              <w:t>art. 126.º, n.º 3</w:t>
            </w:r>
          </w:p>
          <w:p>
            <w:pPr>
              <w:spacing w:after="60"/>
            </w:pPr>
            <w:r>
              <w:rPr>
                <w:b w:val="0"/>
                <w:sz w:val="20"/>
              </w:rPr>
              <w:t>art. 120.º, n.º 5</w:t>
            </w:r>
          </w:p>
          <w:p>
            <w:pPr>
              <w:spacing w:after="60"/>
            </w:pPr>
            <w:r>
              <w:rPr>
                <w:b w:val="0"/>
                <w:sz w:val="20"/>
              </w:rPr>
              <w:t>DL 315/2009, art. 3.º, al. c), e art. 19.º, n.º 3</w:t>
            </w:r>
          </w:p>
          <w:p>
            <w:pPr>
              <w:spacing w:after="60"/>
            </w:pPr>
            <w:r>
              <w:rPr>
                <w:b w:val="0"/>
                <w:sz w:val="20"/>
              </w:rPr>
              <w:t>Portaria 422/2004, anexo</w:t>
            </w:r>
          </w:p>
          <w:p>
            <w:pPr>
              <w:spacing w:after="60"/>
            </w:pPr>
            <w:r>
              <w:rPr>
                <w:b w:val="0"/>
                <w:sz w:val="20"/>
              </w:rPr>
              <w:t>DL 276/2001, art. 53.º, n.º 3</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 Petição pública «Pela revisão da Legislação das Raças Potencialmente Perigosas» (subscritora: Eneida Cardoso), dirigida ao Presidente da Assembleia da República, sem data (pede a reavaliação dos critérios de definição das raças por uma comissão independente)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P-49</w:t>
            </w:r>
          </w:p>
        </w:tc>
      </w:tr>
    </w:tbl>
    <w:p/>
    <w:p>
      <w:pPr>
        <w:pStyle w:val="Heading2"/>
      </w:pPr>
      <w:r>
        <w:rPr>
          <w:i w:val="0"/>
          <w:color w:val="000000"/>
        </w:rPr>
        <w:t>P-55.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 P-54</w:t>
            </w:r>
          </w:p>
        </w:tc>
      </w:tr>
    </w:tbl>
    <w:p/>
    <w:p>
      <w:pPr>
        <w:pStyle w:val="Heading2"/>
      </w:pPr>
      <w:r>
        <w:rPr>
          <w:i w:val="0"/>
          <w:color w:val="000000"/>
        </w:rPr>
        <w:t>P-54.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w:t>
            </w:r>
          </w:p>
        </w:tc>
      </w:tr>
    </w:tbl>
    <w:p/>
    <w:p>
      <w:pPr>
        <w:pStyle w:val="Heading2"/>
      </w:pPr>
      <w:r>
        <w:rPr>
          <w:i w:val="0"/>
          <w:color w:val="000000"/>
        </w:rPr>
        <w:t>P-58. A certificação dos treinadores inclui defesa e mordedura, e nada diz o que o treino do cão deve atingir nem como se avalia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133.º, n.ºs 2 e 3</w:t>
            </w:r>
          </w:p>
          <w:p>
            <w:pPr>
              <w:spacing w:after="60"/>
            </w:pPr>
            <w:r>
              <w:rPr>
                <w:b w:val="0"/>
                <w:sz w:val="20"/>
              </w:rPr>
              <w:t>art. 128.º, n.º 1</w:t>
            </w:r>
          </w:p>
          <w:p>
            <w:pPr>
              <w:spacing w:after="60"/>
            </w:pPr>
            <w:r>
              <w:rPr>
                <w:b w:val="0"/>
                <w:sz w:val="20"/>
              </w:rPr>
              <w:t>art. 9.º, n.º 1, al. g)</w:t>
            </w:r>
          </w:p>
          <w:p>
            <w:pPr>
              <w:spacing w:after="60"/>
            </w:pPr>
            <w:r>
              <w:rPr>
                <w:b w:val="0"/>
                <w:sz w:val="20"/>
              </w:rPr>
              <w:t>Portaria 317/2015, Anexo II, art. 3.º, n.º 3</w:t>
            </w:r>
          </w:p>
          <w:p>
            <w:pPr>
              <w:spacing w:after="60"/>
            </w:pPr>
            <w:r>
              <w:rPr>
                <w:b w:val="0"/>
                <w:sz w:val="20"/>
              </w:rPr>
              <w:t>DL 315/2009, art. 21.º, n.º 1, e art. 28.º, n.º 2</w:t>
            </w:r>
          </w:p>
          <w:p>
            <w:pPr>
              <w:spacing w:after="60"/>
            </w:pPr>
            <w:r>
              <w:rPr>
                <w:b w:val="0"/>
                <w:sz w:val="20"/>
              </w:rPr>
              <w:t>Artigo principal: art. 133.º, Certificado de qualificações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a prova de certificação dos treinadores de cães perigosos e potencialmente perigosos inclui «Noções básicas de figurância» e duas matérias de controlo e mordedura de cães em defesa (Portaria 317/2015, Anexo II, art. 3.º, n.º 3, als. e), h) e i)). São matérias de cães de trabalho e de defesa. O treino que a lei exige ao detentor é de «socialização e obediência» (DL 315/2009, art. 21.º, n.º 1).</w:t>
            </w:r>
          </w:p>
          <w:p>
            <w:pPr>
              <w:spacing w:after="60"/>
            </w:pPr>
            <w:r>
              <w:rPr>
                <w:b w:val="0"/>
                <w:sz w:val="20"/>
              </w:rPr>
              <w:t>A lei não diz o que o treino do cão deve atingir nem como se avalia. O treinador emite um documento quando o treino é «concluído com aproveitamento» (DL 315/2009, art. 28.º, n.º 2), sem critério legal de aproveitamento. A petição pública «Pela revisão da Legislação das Raças Potencialmente Perigosas» diz que, na prática, o cão faz uma prova de obediência desportiva (BH), com exercícios sem trela, e que a lei «não contempla em que momento é avaliado o cão de cada detentor».</w:t>
            </w:r>
          </w:p>
          <w:p>
            <w:pPr>
              <w:spacing w:after="60"/>
            </w:pPr>
            <w:r>
              <w:rPr>
                <w:b w:val="0"/>
                <w:sz w:val="20"/>
              </w:rPr>
              <w:t>O RGAC mantém o regime. O art. 133.º, n.º 3 diz que o modelo de provas e a avaliação dos candidatos «são os definidos na Portaria n.º 317/2015 de 30 de setembro», o que fixa a Portaria no decreto-lei. O art. 128.º, n.º 1 mantém o treino de socialização e obediência sem objetivos nem avaliação. O art. 9.º, n.º 1 já proíbe no treino os equipamentos que causem dor ou sofrimento, incluindo as coleiras de choque (al. g)), um dos pedidos da petição.</w:t>
            </w:r>
          </w:p>
        </w:tc>
      </w:tr>
      <w:tr>
        <w:tc>
          <w:tcPr>
            <w:tcW w:w="1984" w:type="dxa"/>
          </w:tcPr>
          <w:p>
            <w:pPr>
              <w:spacing w:after="60"/>
            </w:pPr>
            <w:r/>
            <w:r>
              <w:rPr>
                <w:b/>
                <w:sz w:val="20"/>
              </w:rPr>
              <w:t>Proposta</w:t>
            </w:r>
          </w:p>
        </w:tc>
        <w:tc>
          <w:tcPr>
            <w:tcW w:w="7087" w:type="dxa"/>
          </w:tcPr>
          <w:p>
            <w:pPr>
              <w:spacing w:after="60"/>
            </w:pPr>
            <w:r/>
            <w:r>
              <w:rPr>
                <w:b w:val="0"/>
                <w:sz w:val="20"/>
              </w:rPr>
              <w:t>(i) No art. 133.º, n.º 3, remeter para portaria a aprovar, em vez de fixar a Portaria 317/2015, e rever as matérias da prova: retirar o trabalho de defesa e mordedura e reforçar comportamento, socialização e métodos sem coação. (ii) No art. 128.º, fixar por portaria os objetivos do treino do cão (socialização, controlo em situações do dia a dia, resposta do detentor) e o modo de avaliação, adaptado à idade e ao estado de saúde do animal. (iii) Ouvir entidades com formação em comportamento animal, como pede a petição.</w:t>
            </w:r>
          </w:p>
        </w:tc>
      </w:tr>
      <w:tr>
        <w:tc>
          <w:tcPr>
            <w:tcW w:w="1984" w:type="dxa"/>
          </w:tcPr>
          <w:p>
            <w:pPr>
              <w:spacing w:after="60"/>
            </w:pPr>
            <w:r/>
            <w:r>
              <w:rPr>
                <w:b/>
                <w:sz w:val="20"/>
              </w:rPr>
              <w:t>Quem levantou</w:t>
            </w:r>
          </w:p>
        </w:tc>
        <w:tc>
          <w:tcPr>
            <w:tcW w:w="7087" w:type="dxa"/>
          </w:tcPr>
          <w:p>
            <w:pPr>
              <w:spacing w:after="60"/>
            </w:pPr>
            <w:r/>
            <w:r>
              <w:rPr>
                <w:b w:val="0"/>
                <w:sz w:val="20"/>
              </w:rPr>
              <w:t>Petição pública «Pela revisão da Legislação das Raças Potencialmente Perigosas» (subscritora: Eneida Cardoso), dirigida ao Presidente da Assembleia da República, sem data; Análise interna (23.10.2026)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P-54, P-56</w:t>
            </w:r>
          </w:p>
        </w:tc>
      </w:tr>
    </w:tbl>
    <w:p/>
    <w:p>
      <w:pPr>
        <w:pStyle w:val="Heading2"/>
      </w:pPr>
      <w:r>
        <w:rPr>
          <w:i w:val="0"/>
          <w:color w:val="000000"/>
        </w:rPr>
        <w:t>P-56.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P-54, P-55</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8"/>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P-53</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P-57</w:t>
            </w:r>
          </w:p>
        </w:tc>
        <w:tc>
          <w:tcPr>
            <w:tcW w:w="4309" w:type="dxa"/>
          </w:tcPr>
          <w:p>
            <w:pPr>
              <w:spacing w:after="60"/>
            </w:pPr>
            <w:r/>
            <w:r>
              <w:rPr>
                <w:b w:val="0"/>
                <w:sz w:val="20"/>
              </w:rPr>
              <w:t>Nada diz quem decide se um cão é cruzamento de raça potencialmente perigosa, com que critério, nem como se contesta</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P-55</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P-54</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P-58</w:t>
            </w:r>
          </w:p>
        </w:tc>
        <w:tc>
          <w:tcPr>
            <w:tcW w:w="4309" w:type="dxa"/>
          </w:tcPr>
          <w:p>
            <w:pPr>
              <w:spacing w:after="60"/>
            </w:pPr>
            <w:r/>
            <w:r>
              <w:rPr>
                <w:b w:val="0"/>
                <w:sz w:val="20"/>
              </w:rPr>
              <w:t>A certificação dos treinadores inclui defesa e mordedura, e nada diz o que o treino do cão deve atingir nem como se avalia</w:t>
            </w:r>
          </w:p>
        </w:tc>
        <w:tc>
          <w:tcPr>
            <w:tcW w:w="3628" w:type="dxa"/>
          </w:tcPr>
          <w:p>
            <w:pPr>
              <w:spacing w:after="60"/>
            </w:pPr>
            <w:r/>
            <w:r>
              <w:rPr>
                <w:b w:val="0"/>
                <w:sz w:val="20"/>
              </w:rPr>
              <w:t>art. 133.º, Certificado de qualificações</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P-56</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58 fichas, das quais 54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Administrações estrangeiras</w:t>
            </w:r>
          </w:p>
        </w:tc>
      </w:tr>
      <w:tr>
        <w:tc>
          <w:tcPr>
            <w:tcW w:w="2835" w:type="dxa"/>
          </w:tcPr>
          <w:p>
            <w:pPr>
              <w:spacing w:after="60"/>
            </w:pPr>
            <w:r/>
            <w:r>
              <w:rPr>
                <w:b w:val="0"/>
                <w:sz w:val="20"/>
              </w:rPr>
              <w:t>Espanha, Real Decreto 287/2002, art. 2.º e anexo II (redação original) (22.3.2002)</w:t>
            </w:r>
          </w:p>
        </w:tc>
        <w:tc>
          <w:tcPr>
            <w:tcW w:w="1361" w:type="dxa"/>
          </w:tcPr>
          <w:p>
            <w:pPr>
              <w:spacing w:after="60"/>
            </w:pPr>
            <w:r/>
            <w:r>
              <w:rPr>
                <w:b w:val="0"/>
                <w:sz w:val="20"/>
              </w:rPr>
              <w:t>Animais perigosos</w:t>
            </w:r>
          </w:p>
        </w:tc>
        <w:tc>
          <w:tcPr>
            <w:tcW w:w="6406" w:type="dxa"/>
          </w:tcPr>
          <w:p>
            <w:pPr>
              <w:spacing w:after="60"/>
            </w:pPr>
            <w:r/>
            <w:r>
              <w:rPr>
                <w:b w:val="0"/>
                <w:sz w:val="20"/>
              </w:rPr>
              <w:t>Além da lista de raças, considera potencialmente perigosos os cães com todas ou a maior parte das características morfológicas do anexo II, como o pelo curto, o perímetro torácico, a altura e o peso. Citação: «Aquellos cuyas características se correspondan con todas o la mayoría de las que figuran en el anexo II» (aqueles cujas características correspondam a todas ou à maior parte das que constam do anexo II).</w:t>
            </w:r>
          </w:p>
        </w:tc>
        <w:tc>
          <w:tcPr>
            <w:tcW w:w="3969" w:type="dxa"/>
          </w:tcPr>
          <w:p>
            <w:pPr>
              <w:spacing w:after="60"/>
            </w:pPr>
            <w:r/>
            <w:r>
              <w:rPr>
                <w:b w:val="0"/>
                <w:sz w:val="20"/>
              </w:rPr>
              <w:t>https://boe.es/boe/dias/2002/03/27/pdfs/A12290-12292.pdf</w:t>
            </w:r>
          </w:p>
        </w:tc>
      </w:tr>
      <w:tr>
        <w:tc>
          <w:tcPr>
            <w:tcW w:w="2835" w:type="dxa"/>
          </w:tcPr>
          <w:p>
            <w:pPr>
              <w:spacing w:after="60"/>
            </w:pPr>
            <w:r/>
            <w:r>
              <w:rPr>
                <w:b w:val="0"/>
                <w:sz w:val="20"/>
              </w:rPr>
              <w:t>Reino Unido, Defra, padrão de conformação do tipo XL Bully (31.10.2023)</w:t>
            </w:r>
          </w:p>
        </w:tc>
        <w:tc>
          <w:tcPr>
            <w:tcW w:w="1361" w:type="dxa"/>
          </w:tcPr>
          <w:p>
            <w:pPr>
              <w:spacing w:after="60"/>
            </w:pPr>
            <w:r/>
            <w:r>
              <w:rPr>
                <w:b w:val="0"/>
                <w:sz w:val="20"/>
              </w:rPr>
              <w:t>Animais perigosos</w:t>
            </w:r>
          </w:p>
        </w:tc>
        <w:tc>
          <w:tcPr>
            <w:tcW w:w="6406" w:type="dxa"/>
          </w:tcPr>
          <w:p>
            <w:pPr>
              <w:spacing w:after="60"/>
            </w:pPr>
            <w:r/>
            <w:r>
              <w:rPr>
                <w:b w:val="0"/>
                <w:sz w:val="20"/>
              </w:rPr>
              <w:t>Fixa por escrito as características físicas do tipo XL Bully, para apoiar a identificação pelos tribunais e pelos agentes de fiscalização. Citação: «intended to be used by the courts and Dog Legislation Officers to support identification of the XL Bully breed type» (destina-se a ser usado pelos tribunais e pelos agentes de fiscalização para apoiar a identificação do tipo XL Bully).</w:t>
            </w:r>
          </w:p>
        </w:tc>
        <w:tc>
          <w:tcPr>
            <w:tcW w:w="3969" w:type="dxa"/>
          </w:tcPr>
          <w:p>
            <w:pPr>
              <w:spacing w:after="60"/>
            </w:pPr>
            <w:r/>
            <w:r>
              <w:rPr>
                <w:b w:val="0"/>
                <w:sz w:val="20"/>
              </w:rPr>
              <w:t>https://www.gov.uk/government/publications/official-definition-of-an-xl-bully-dog</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2835" w:type="dxa"/>
          </w:tcPr>
          <w:p>
            <w:pPr>
              <w:spacing w:after="60"/>
            </w:pPr>
            <w:r/>
            <w:r>
              <w:rPr>
                <w:b w:val="0"/>
                <w:sz w:val="20"/>
              </w:rPr>
              <w:t>Maria Joana de Antas de Barros, «O estranho caso dos cães de raça potencialmente perigosa», RJLB (2023)</w:t>
            </w:r>
          </w:p>
        </w:tc>
        <w:tc>
          <w:tcPr>
            <w:tcW w:w="1361" w:type="dxa"/>
          </w:tcPr>
          <w:p>
            <w:pPr>
              <w:spacing w:after="60"/>
            </w:pPr>
            <w:r/>
            <w:r>
              <w:rPr>
                <w:b w:val="0"/>
                <w:sz w:val="20"/>
              </w:rPr>
              <w:t>Animais perigosos</w:t>
            </w:r>
          </w:p>
        </w:tc>
        <w:tc>
          <w:tcPr>
            <w:tcW w:w="6406" w:type="dxa"/>
          </w:tcPr>
          <w:p>
            <w:pPr>
              <w:spacing w:after="60"/>
            </w:pPr>
            <w:r/>
            <w:r>
              <w:rPr>
                <w:b w:val="0"/>
                <w:sz w:val="20"/>
              </w:rPr>
              <w:t>Critica a inclusão dos cruzamentos no regime: sem dados de ascendência a raça é difícil de determinar, sobretudo em animais errantes encaminhados para adoção, e os cruzamentos são cães sem raça definida. Citação: «se afigura de extrema dificuldade (mesmo, por vezes, para os próprios veterinários) a tarefa de determinar, com certeza e exatidão, qual a raça de determinado cão, sem a posse de qualquer dado relativo à sua ascendência».</w:t>
            </w:r>
          </w:p>
        </w:tc>
        <w:tc>
          <w:tcPr>
            <w:tcW w:w="3969" w:type="dxa"/>
          </w:tcPr>
          <w:p>
            <w:pPr>
              <w:spacing w:after="60"/>
            </w:pPr>
            <w:r/>
            <w:r>
              <w:rPr>
                <w:b w:val="0"/>
                <w:sz w:val="20"/>
              </w:rPr>
              <w:t>https://www.cidp.pt/revistas/rjlb/2023/3/2023_03_1215_1242.pdf</w:t>
            </w:r>
          </w:p>
        </w:tc>
      </w:tr>
      <w:tr>
        <w:tc>
          <w:tcPr>
            <w:tcW w:w="2835" w:type="dxa"/>
          </w:tcPr>
          <w:p>
            <w:pPr>
              <w:spacing w:after="60"/>
            </w:pPr>
            <w:r/>
            <w:r>
              <w:rPr>
                <w:b w:val="0"/>
                <w:sz w:val="20"/>
              </w:rPr>
              <w:t>Tribunal da Relação de Évora, proc. 245/19.0GCSTR.E1 (25.5.2021)</w:t>
            </w:r>
          </w:p>
        </w:tc>
        <w:tc>
          <w:tcPr>
            <w:tcW w:w="1361" w:type="dxa"/>
          </w:tcPr>
          <w:p>
            <w:pPr>
              <w:spacing w:after="60"/>
            </w:pPr>
            <w:r/>
            <w:r>
              <w:rPr>
                <w:b w:val="0"/>
                <w:sz w:val="20"/>
              </w:rPr>
              <w:t>Animais perigosos</w:t>
            </w:r>
          </w:p>
        </w:tc>
        <w:tc>
          <w:tcPr>
            <w:tcW w:w="6406" w:type="dxa"/>
          </w:tcPr>
          <w:p>
            <w:pPr>
              <w:spacing w:after="60"/>
            </w:pPr>
            <w:r/>
            <w:r>
              <w:rPr>
                <w:b w:val="0"/>
                <w:sz w:val="20"/>
              </w:rPr>
              <w:t>Um cão de raça indeterminada e de grande porte fica fora do regime dos animais potencialmente perigosos. O acórdão não aprecia a tipologia. Citação: «por possuir raça indeterminada, não está incluído em nenhuma das raças previamente definidas como potencialmente perigosas em Portaria do Governo».</w:t>
            </w:r>
          </w:p>
        </w:tc>
        <w:tc>
          <w:tcPr>
            <w:tcW w:w="3969" w:type="dxa"/>
          </w:tcPr>
          <w:p>
            <w:pPr>
              <w:spacing w:after="60"/>
            </w:pPr>
            <w:r/>
            <w:r>
              <w:rPr>
                <w:b w:val="0"/>
                <w:sz w:val="20"/>
              </w:rPr>
              <w:t>https://jurisprudencia.pt/acordao/200915/</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r>
        <w:tc>
          <w:tcPr>
            <w:tcW w:w="14570" w:type="dxa"/>
            <w:gridSpan w:val="4"/>
          </w:tcPr>
          <w:p>
            <w:pPr>
              <w:spacing w:after="60"/>
            </w:pPr>
            <w:r/>
            <w:r>
              <w:rPr>
                <w:b/>
                <w:sz w:val="20"/>
              </w:rPr>
              <w:t>Petições e cidadãos</w:t>
            </w:r>
          </w:p>
        </w:tc>
      </w:tr>
      <w:tr>
        <w:tc>
          <w:tcPr>
            <w:tcW w:w="2835" w:type="dxa"/>
          </w:tcPr>
          <w:p>
            <w:pPr>
              <w:spacing w:after="60"/>
            </w:pPr>
            <w:r/>
            <w:r>
              <w:rPr>
                <w:b w:val="0"/>
                <w:sz w:val="20"/>
              </w:rPr>
              <w:t>Petição pública «Pela revisão da Legislação das Raças Potencialmente Perigosas» (subscritora: Eneida Cardoso) (sem data)</w:t>
            </w:r>
          </w:p>
        </w:tc>
        <w:tc>
          <w:tcPr>
            <w:tcW w:w="1361" w:type="dxa"/>
          </w:tcPr>
          <w:p>
            <w:pPr>
              <w:spacing w:after="60"/>
            </w:pPr>
            <w:r/>
            <w:r>
              <w:rPr>
                <w:b w:val="0"/>
                <w:sz w:val="20"/>
              </w:rPr>
              <w:t>Animais perigosos</w:t>
            </w:r>
          </w:p>
        </w:tc>
        <w:tc>
          <w:tcPr>
            <w:tcW w:w="6406" w:type="dxa"/>
          </w:tcPr>
          <w:p>
            <w:pPr>
              <w:spacing w:after="60"/>
            </w:pPr>
            <w:r/>
            <w:r>
              <w:rPr>
                <w:b w:val="0"/>
                <w:sz w:val="20"/>
              </w:rPr>
              <w:t>Contesta a lista de raças e os critérios de tamanho e potência de mandíbula, e pede que os critérios sejam reavaliados por uma comissão independente. Critica a formação de 4 horas dos detentores, a certificação dos treinadores pela GNR e pela PSP e a prova de obediência desportiva exigida aos cães. Não trata da tipologia dos cruzamentos. Citação: «Reavaliação dos critérios e implicações subjacentes à definição de raças de cães perigosos e potencialmente perigosos através da criação de uma comissão independente e técnico-cientificamente validada».</w:t>
            </w:r>
          </w:p>
        </w:tc>
        <w:tc>
          <w:tcPr>
            <w:tcW w:w="3969" w:type="dxa"/>
          </w:tcPr>
          <w:p>
            <w:pPr>
              <w:spacing w:after="60"/>
            </w:pPr>
            <w:r/>
            <w:r>
              <w:rPr>
                <w:b w:val="0"/>
                <w:sz w:val="20"/>
              </w:rPr>
              <w:t>repositório: Projetos de lei/Petição - Pela revisão da Legislação das Raças Potencialmente Perigosas.pdf</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17</w:t>
            </w:r>
          </w:p>
        </w:tc>
        <w:tc>
          <w:tcPr>
            <w:tcW w:w="1701" w:type="dxa"/>
          </w:tcPr>
          <w:p>
            <w:pPr>
              <w:spacing w:after="60"/>
            </w:pPr>
            <w:r/>
            <w:r>
              <w:rPr>
                <w:b w:val="0"/>
                <w:sz w:val="20"/>
              </w:rPr>
              <w:t>10</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70</w:t>
            </w:r>
          </w:p>
        </w:tc>
        <w:tc>
          <w:tcPr>
            <w:tcW w:w="1701" w:type="dxa"/>
          </w:tcPr>
          <w:p>
            <w:pPr>
              <w:spacing w:after="60"/>
            </w:pPr>
            <w:r/>
            <w:r>
              <w:rPr>
                <w:b/>
                <w:sz w:val="20"/>
              </w:rPr>
              <w:t>83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 P-57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 P-58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 P-53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P-55, P-56,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P-57,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P-53,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P-53, P-55,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P-57,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 P-54, P-57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P-53, P-55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P-54, P-58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Parcial</w:t>
            </w:r>
          </w:p>
        </w:tc>
        <w:tc>
          <w:tcPr>
            <w:tcW w:w="2268" w:type="dxa"/>
          </w:tcPr>
          <w:p>
            <w:pPr>
              <w:spacing w:after="60"/>
            </w:pPr>
            <w:r/>
            <w:r>
              <w:rPr>
                <w:b w:val="0"/>
                <w:sz w:val="20"/>
              </w:rPr>
              <w:t>P-58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P-56,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(23)</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(15)</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P-57. Nada diz quem decide se um cão é cruzamento de raça potencialmente perigosa, com que critério, nem como se contesta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(10)</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(7)</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P-58. A certificação dos treinadores inclui defesa e mordedura, e nada diz o que o treino do cão deve atingir nem como se avalia (art. 133.º, cap. XIV)</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(7)</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P-57. Nada diz quem decide se um cão é cruzamento de raça potencialmente perigosa, com que critério, nem como se contesta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P-58. A certificação dos treinadores inclui defesa e mordedura, e nada diz o que o treino do cão deve atingir nem como se avalia (art. 133.º, cap. XIV)</w:t>
      </w:r>
    </w:p>
    <w:p>
      <w:pPr>
        <w:spacing w:after="20"/>
        <w:ind w:left="454"/>
      </w:pPr>
      <w:r>
        <w:rPr>
          <w:b w:val="0"/>
          <w:i w:val="0"/>
        </w:rPr>
        <w:t>P-56. O registo do treino no SIAC fica sem perfil de acesso, sem coima e sem regime transitório (art. 135.º,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D-02</w:t>
            </w:r>
          </w:p>
        </w:tc>
        <w:tc>
          <w:tcPr>
            <w:tcW w:w="1417" w:type="dxa"/>
          </w:tcPr>
          <w:p>
            <w:pPr>
              <w:spacing w:after="60"/>
            </w:pPr>
            <w:r/>
            <w:r>
              <w:rPr>
                <w:b w:val="0"/>
                <w:sz w:val="20"/>
              </w:rPr>
              <w:t>P-53</w:t>
            </w:r>
          </w:p>
        </w:tc>
        <w:tc>
          <w:tcPr>
            <w:tcW w:w="6236" w:type="dxa"/>
          </w:tcPr>
          <w:p>
            <w:pPr>
              <w:spacing w:after="60"/>
            </w:pPr>
            <w:r/>
            <w:r>
              <w:rPr>
                <w:b w:val="0"/>
                <w:sz w:val="20"/>
              </w:rPr>
              <w:t>Associação titular de cão perigoso: falta a regra da licença e a adoção fica entre duas normas contrárias</w:t>
            </w:r>
          </w:p>
        </w:tc>
      </w:tr>
      <w:tr>
        <w:tc>
          <w:tcPr>
            <w:tcW w:w="1417" w:type="dxa"/>
          </w:tcPr>
          <w:p>
            <w:pPr>
              <w:spacing w:after="60"/>
            </w:pPr>
            <w:r/>
            <w:r>
              <w:rPr>
                <w:b w:val="0"/>
                <w:sz w:val="20"/>
              </w:rPr>
              <w:t>D-03</w:t>
            </w:r>
          </w:p>
        </w:tc>
        <w:tc>
          <w:tcPr>
            <w:tcW w:w="1417" w:type="dxa"/>
          </w:tcPr>
          <w:p>
            <w:pPr>
              <w:spacing w:after="60"/>
            </w:pPr>
            <w:r/>
            <w:r>
              <w:rPr>
                <w:b w:val="0"/>
                <w:sz w:val="20"/>
              </w:rPr>
              <w:t>P-54</w:t>
            </w:r>
          </w:p>
        </w:tc>
        <w:tc>
          <w:tcPr>
            <w:tcW w:w="6236" w:type="dxa"/>
          </w:tcPr>
          <w:p>
            <w:pPr>
              <w:spacing w:after="60"/>
            </w:pPr>
            <w:r/>
            <w:r>
              <w:rPr>
                <w:b w:val="0"/>
                <w:sz w:val="20"/>
              </w:rPr>
              <w:t>O treino começa entre os 6 e os 12 meses, o que não serve o cão classificado como perigoso já adulto</w:t>
            </w:r>
          </w:p>
        </w:tc>
      </w:tr>
      <w:tr>
        <w:tc>
          <w:tcPr>
            <w:tcW w:w="1417" w:type="dxa"/>
          </w:tcPr>
          <w:p>
            <w:pPr>
              <w:spacing w:after="60"/>
            </w:pPr>
            <w:r/>
            <w:r>
              <w:rPr>
                <w:b w:val="0"/>
                <w:sz w:val="20"/>
              </w:rPr>
              <w:t>D-04</w:t>
            </w:r>
          </w:p>
        </w:tc>
        <w:tc>
          <w:tcPr>
            <w:tcW w:w="1417" w:type="dxa"/>
          </w:tcPr>
          <w:p>
            <w:pPr>
              <w:spacing w:after="60"/>
            </w:pPr>
            <w:r/>
            <w:r>
              <w:rPr>
                <w:b w:val="0"/>
                <w:sz w:val="20"/>
              </w:rPr>
              <w:t>P-55</w:t>
            </w:r>
          </w:p>
        </w:tc>
        <w:tc>
          <w:tcPr>
            <w:tcW w:w="6236" w:type="dxa"/>
          </w:tcPr>
          <w:p>
            <w:pPr>
              <w:spacing w:after="60"/>
            </w:pPr>
            <w:r/>
            <w:r>
              <w:rPr>
                <w:b w:val="0"/>
                <w:sz w:val="20"/>
              </w:rPr>
              <w:t>Na cedência de cão perigoso, o cedente não informa nem entrega nada, e o novo detentor fica com o atraso</w:t>
            </w:r>
          </w:p>
        </w:tc>
      </w:tr>
      <w:tr>
        <w:tc>
          <w:tcPr>
            <w:tcW w:w="1417" w:type="dxa"/>
          </w:tcPr>
          <w:p>
            <w:pPr>
              <w:spacing w:after="60"/>
            </w:pPr>
            <w:r/>
            <w:r>
              <w:rPr>
                <w:b w:val="0"/>
                <w:sz w:val="20"/>
              </w:rPr>
              <w:t>D-05</w:t>
            </w:r>
          </w:p>
        </w:tc>
        <w:tc>
          <w:tcPr>
            <w:tcW w:w="1417" w:type="dxa"/>
          </w:tcPr>
          <w:p>
            <w:pPr>
              <w:spacing w:after="60"/>
            </w:pPr>
            <w:r/>
            <w:r>
              <w:rPr>
                <w:b w:val="0"/>
                <w:sz w:val="20"/>
              </w:rPr>
              <w:t>P-56</w:t>
            </w:r>
          </w:p>
        </w:tc>
        <w:tc>
          <w:tcPr>
            <w:tcW w:w="6236" w:type="dxa"/>
          </w:tcPr>
          <w:p>
            <w:pPr>
              <w:spacing w:after="60"/>
            </w:pPr>
            <w:r/>
            <w:r>
              <w:rPr>
                <w:b w:val="0"/>
                <w:sz w:val="20"/>
              </w:rPr>
              <w:t>O registo do treino no SIAC fica sem perfil de acesso, sem coima e sem regime transitório</w:t>
            </w:r>
          </w:p>
        </w:tc>
      </w:tr>
      <w:tr>
        <w:tc>
          <w:tcPr>
            <w:tcW w:w="1417" w:type="dxa"/>
          </w:tcPr>
          <w:p>
            <w:pPr>
              <w:spacing w:after="60"/>
            </w:pPr>
            <w:r/>
            <w:r>
              <w:rPr>
                <w:b w:val="0"/>
                <w:sz w:val="20"/>
              </w:rPr>
              <w:t>D-06</w:t>
            </w:r>
          </w:p>
        </w:tc>
        <w:tc>
          <w:tcPr>
            <w:tcW w:w="1417" w:type="dxa"/>
          </w:tcPr>
          <w:p>
            <w:pPr>
              <w:spacing w:after="60"/>
            </w:pPr>
            <w:r/>
            <w:r>
              <w:rPr>
                <w:b w:val="0"/>
                <w:sz w:val="20"/>
              </w:rPr>
              <w:t>P-57</w:t>
            </w:r>
          </w:p>
        </w:tc>
        <w:tc>
          <w:tcPr>
            <w:tcW w:w="6236" w:type="dxa"/>
          </w:tcPr>
          <w:p>
            <w:pPr>
              <w:spacing w:after="60"/>
            </w:pPr>
            <w:r/>
            <w:r>
              <w:rPr>
                <w:b w:val="0"/>
                <w:sz w:val="20"/>
              </w:rPr>
              <w:t>Nada diz quem decide se um cão é cruzamento de raça potencialmente perigosa, com que critério, nem como se contesta</w:t>
            </w:r>
          </w:p>
        </w:tc>
      </w:tr>
      <w:tr>
        <w:tc>
          <w:tcPr>
            <w:tcW w:w="1417" w:type="dxa"/>
          </w:tcPr>
          <w:p>
            <w:pPr>
              <w:spacing w:after="60"/>
            </w:pPr>
            <w:r/>
            <w:r>
              <w:rPr>
                <w:b w:val="0"/>
                <w:sz w:val="20"/>
              </w:rPr>
              <w:t>D-07</w:t>
            </w:r>
          </w:p>
        </w:tc>
        <w:tc>
          <w:tcPr>
            <w:tcW w:w="1417" w:type="dxa"/>
          </w:tcPr>
          <w:p>
            <w:pPr>
              <w:spacing w:after="60"/>
            </w:pPr>
            <w:r/>
            <w:r>
              <w:rPr>
                <w:b w:val="0"/>
                <w:sz w:val="20"/>
              </w:rPr>
              <w:t>P-58</w:t>
            </w:r>
          </w:p>
        </w:tc>
        <w:tc>
          <w:tcPr>
            <w:tcW w:w="6236" w:type="dxa"/>
          </w:tcPr>
          <w:p>
            <w:pPr>
              <w:spacing w:after="60"/>
            </w:pPr>
            <w:r/>
            <w:r>
              <w:rPr>
                <w:b w:val="0"/>
                <w:sz w:val="20"/>
              </w:rPr>
              <w:t>A certificação dos treinadores inclui defesa e mordedura, e nada diz o que o treino do cão deve atingir nem como se avalia</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1.37</w:t>
            </w:r>
          </w:p>
        </w:tc>
        <w:tc>
          <w:tcPr>
            <w:tcW w:w="1417" w:type="dxa"/>
          </w:tcPr>
          <w:p>
            <w:pPr>
              <w:spacing w:after="60"/>
            </w:pPr>
            <w:r/>
            <w:r>
              <w:rPr>
                <w:b w:val="0"/>
                <w:sz w:val="20"/>
              </w:rPr>
              <w:t>23.10.2026</w:t>
            </w:r>
          </w:p>
        </w:tc>
        <w:tc>
          <w:tcPr>
            <w:tcW w:w="6406"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247" w:type="dxa"/>
          </w:tcPr>
          <w:p>
            <w:pPr>
              <w:spacing w:after="60"/>
            </w:pPr>
            <w:r/>
            <w:r>
              <w:rPr>
                <w:b w:val="0"/>
                <w:sz w:val="20"/>
              </w:rPr>
              <w:t>1.38</w:t>
            </w:r>
          </w:p>
        </w:tc>
        <w:tc>
          <w:tcPr>
            <w:tcW w:w="1417" w:type="dxa"/>
          </w:tcPr>
          <w:p>
            <w:pPr>
              <w:spacing w:after="60"/>
            </w:pPr>
            <w:r/>
            <w:r>
              <w:rPr>
                <w:b w:val="0"/>
                <w:sz w:val="20"/>
              </w:rPr>
              <w:t>23.10.2026</w:t>
            </w:r>
          </w:p>
        </w:tc>
        <w:tc>
          <w:tcPr>
            <w:tcW w:w="6406"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r>
        <w:tc>
          <w:tcPr>
            <w:tcW w:w="1247" w:type="dxa"/>
          </w:tcPr>
          <w:p>
            <w:pPr>
              <w:spacing w:after="60"/>
            </w:pPr>
            <w:r/>
            <w:r>
              <w:rPr>
                <w:b w:val="0"/>
                <w:sz w:val="20"/>
              </w:rPr>
              <w:t>1.39</w:t>
            </w:r>
          </w:p>
        </w:tc>
        <w:tc>
          <w:tcPr>
            <w:tcW w:w="1417" w:type="dxa"/>
          </w:tcPr>
          <w:p>
            <w:pPr>
              <w:spacing w:after="60"/>
            </w:pPr>
            <w:r/>
            <w:r>
              <w:rPr>
                <w:b w:val="0"/>
                <w:sz w:val="20"/>
              </w:rPr>
              <w:t>23.10.2026</w:t>
            </w:r>
          </w:p>
        </w:tc>
        <w:tc>
          <w:tcPr>
            <w:tcW w:w="6406" w:type="dxa"/>
          </w:tcPr>
          <w:p>
            <w:pPr>
              <w:spacing w:after="60"/>
            </w:pPr>
            <w:r/>
            <w:r>
              <w:rPr>
                <w:b w:val="0"/>
                <w:sz w:val="20"/>
              </w:rPr>
              <w:t>O Anexo B deixa de estar limitado aos temas T e C: a coluna Tema aceita as letras dos capítulos e a legenda passa a listar só as letras usadas; o gerador recusa letras que não existam. Quatro posições novas no tema D, sobre a tipologia dos cruzamentos (ficha D-06): RJLB 2023, Tribunal da Relação de Évora (25.5.2021), Real Decreto 287/2002 (Espanha) e padrão de conformação do XL Bully (Defra, Reino Unido). Novo grupo: Administrações estrangeiras.</w:t>
            </w:r>
          </w:p>
        </w:tc>
      </w:tr>
      <w:tr>
        <w:tc>
          <w:tcPr>
            <w:tcW w:w="1247" w:type="dxa"/>
          </w:tcPr>
          <w:p>
            <w:pPr>
              <w:spacing w:after="60"/>
            </w:pPr>
            <w:r/>
            <w:r>
              <w:rPr>
                <w:b w:val="0"/>
                <w:sz w:val="20"/>
              </w:rPr>
              <w:t>1.40</w:t>
            </w:r>
          </w:p>
        </w:tc>
        <w:tc>
          <w:tcPr>
            <w:tcW w:w="1417" w:type="dxa"/>
          </w:tcPr>
          <w:p>
            <w:pPr>
              <w:spacing w:after="60"/>
            </w:pPr>
            <w:r/>
            <w:r>
              <w:rPr>
                <w:b w:val="0"/>
                <w:sz w:val="20"/>
              </w:rPr>
              <w:t>23.10.2026</w:t>
            </w:r>
          </w:p>
        </w:tc>
        <w:tc>
          <w:tcPr>
            <w:tcW w:w="6406" w:type="dxa"/>
          </w:tcPr>
          <w:p>
            <w:pPr>
              <w:spacing w:after="60"/>
            </w:pPr>
            <w:r/>
            <w:r>
              <w:rPr>
                <w:b w:val="0"/>
                <w:sz w:val="20"/>
              </w:rPr>
              <w:t>Petição pública «Pela revisão da Legislação das Raças Potencialmente Perigosas» lida e guardada no repositório. Entra no Anexo B (tema D, grupo Petições e cidadãos), na ficha D-06 e na ficha nova D-07 (a certificação dos treinadores inclui defesa e mordedura, e nada diz o que o treino do cão deve atingir nem como se avalia). O RGAC fixa a Portaria 317/2015 no art. 133.º, n.º 3 e mantém o treino sem objetivos nem avaliação (art. 128.º).</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6">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7">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8">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9">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spacing w:after="80"/>
        <w:ind w:left="454" w:hanging="454"/>
      </w:pPr>
      <w:r>
        <w:rPr>
          <w:b w:val="0"/>
          <w:i w:val="0"/>
        </w:rPr>
        <w:t xml:space="preserve">Petição pública «Pela revisão da Legislação das Raças Potencialmente Perigosas» (subscritora: Eneida Cardoso), dirigida ao Presidente da Assembleia da República, sem data. </w:t>
      </w:r>
      <w:r>
        <w:t>Repositório: Projetos de lei/Petição - Pela revisão da Legislação das Raças Potencialmente Perigosas.pdf.</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0">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0">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1">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2">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8">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69">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0">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1">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2">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3">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4">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5">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6">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7">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8">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79">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0">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1">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2">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3">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4">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5">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6">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7">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1.40.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boe.es/boe/dias/2002/03/27/pdfs/A12290-12292.pdf" TargetMode="External"/><Relationship Id="rId37" Type="http://schemas.openxmlformats.org/officeDocument/2006/relationships/hyperlink" Target="https://anmp.pt/file-viewer/?pstid=41508" TargetMode="External"/><Relationship Id="rId38"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9"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0" Type="http://schemas.openxmlformats.org/officeDocument/2006/relationships/hyperlink" Target="https://www.dgav.pt/animais/conteudo/recursos-geneticos-animais/racas-autoctones/" TargetMode="External"/><Relationship Id="rId41" Type="http://schemas.openxmlformats.org/officeDocument/2006/relationships/hyperlink" Target="https://www.icnf.pt/api/file/doc/41f8f44aee23be1a" TargetMode="External"/><Relationship Id="rId42" Type="http://schemas.openxmlformats.org/officeDocument/2006/relationships/hyperlink" Target="https://www.dgav.pt/wp-content/uploads/2021/08/Relatorio-FINAL-avaliacao-da-implementacao-da-Lei-27-2016.pdf" TargetMode="External"/><Relationship Id="rId43" Type="http://schemas.openxmlformats.org/officeDocument/2006/relationships/hyperlink" Target="https://www.provedor-jus.pt/documentos/082A_96.pdf" TargetMode="External"/><Relationship Id="rId44" Type="http://schemas.openxmlformats.org/officeDocument/2006/relationships/hyperlink" Target="https://www.provedor-jus.pt/documentos/canideos-captura-alojamento-e-abate/" TargetMode="External"/><Relationship Id="rId45" Type="http://schemas.openxmlformats.org/officeDocument/2006/relationships/hyperlink" Target="https://www.provedor-jus.pt/documentos/ambiente-salubridade-habitacao-acumulacao-de-residuos-saude-mental-sindrome-de-diogenes-004-a-2013/" TargetMode="External"/><Relationship Id="rId46" Type="http://schemas.openxmlformats.org/officeDocument/2006/relationships/hyperlink" Target="https://www.provedor-jus.pt/documentos/Relat2020%20_Relatorio.pdf" TargetMode="External"/><Relationship Id="rId47" Type="http://schemas.openxmlformats.org/officeDocument/2006/relationships/hyperlink" Target="https://www.provedor-jus.pt/documentos/Relatorio%202023.pdf" TargetMode="External"/><Relationship Id="rId48" Type="http://schemas.openxmlformats.org/officeDocument/2006/relationships/hyperlink" Target="https://food.ec.europa.eu/document/download/caf8cd1d-967a-4e60-a0e5-19401be1c6b3_en?filename=aw_awp_leg_dog-cat_swd-2024-88.pdf" TargetMode="External"/><Relationship Id="rId49" Type="http://schemas.openxmlformats.org/officeDocument/2006/relationships/hyperlink" Target="https://www.woah.org/fileadmin/Home/eng/Health_standards/tahc/2023/chapitre_aw_stray_dog.pdf" TargetMode="External"/><Relationship Id="rId50" Type="http://schemas.openxmlformats.org/officeDocument/2006/relationships/hyperlink" Target="https://www.dgav.pt/wp-content/uploads/2026/03/Relatorio_CROs_2025_31032026-rev.pdf" TargetMode="External"/><Relationship Id="rId51" Type="http://schemas.openxmlformats.org/officeDocument/2006/relationships/hyperlink" Target="https://www.gov.uk/government/publications/official-definition-of-an-xl-bully-dog" TargetMode="External"/><Relationship Id="rId52" Type="http://schemas.openxmlformats.org/officeDocument/2006/relationships/hyperlink" Target="https://www.cpc.pt/wp-content/uploads/2020/12/lop_ri.pdf" TargetMode="External"/><Relationship Id="rId53" Type="http://schemas.openxmlformats.org/officeDocument/2006/relationships/hyperlink" Target="https://www.omv.pt/dmdocuments/vi_formacao_omv/abandono_animais_camv_ultimoparecer_nov2015.pdf" TargetMode="External"/><Relationship Id="rId5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5" Type="http://schemas.openxmlformats.org/officeDocument/2006/relationships/hyperlink" Target="https://apmveac.pt/wp-content/uploads/2021/04/Legislacao.Animais.Companhia_09-04-2021-amarelo-final-.pdf" TargetMode="External"/><Relationship Id="rId56" Type="http://schemas.openxmlformats.org/officeDocument/2006/relationships/hyperlink" Target="https://apmveac.pt/wp-content/uploads/2023/09/Parecer-APMVEAC-Consulta-Publica-ENAE.pdf" TargetMode="External"/><Relationship Id="rId57" Type="http://schemas.openxmlformats.org/officeDocument/2006/relationships/hyperlink" Target="https://www.arpa-associacao.pt/media/attachments/2022/12/14/parecer-arpa-versAo-4-final.pdf" TargetMode="External"/><Relationship Id="rId58" Type="http://schemas.openxmlformats.org/officeDocument/2006/relationships/hyperlink" Target="https://www.spea.pt/wp-content/uploads/2020/09/ParecerSPEA_Planos-Gestao-Parques-Naturais-Ilha-2020.pdf" TargetMode="External"/><Relationship Id="rId59" Type="http://schemas.openxmlformats.org/officeDocument/2006/relationships/hyperlink" Target="https://spea.pt/um-gato-feliz-e-alimentado-mantem-o-passarinho-afastado/" TargetMode="External"/><Relationship Id="rId60" Type="http://schemas.openxmlformats.org/officeDocument/2006/relationships/hyperlink" Target="https://matilhascoimbra.pt/pages/projecto-2" TargetMode="External"/><Relationship Id="rId61" Type="http://schemas.openxmlformats.org/officeDocument/2006/relationships/hyperlink" Target="https://www.pan.com.pt/pan-destaca-vitorias-no-bem-estar-animal-mas-denuncia-retrocesso-grave-no-orcamento-do-estado-para-2026/" TargetMode="External"/><Relationship Id="rId62" Type="http://schemas.openxmlformats.org/officeDocument/2006/relationships/hyperlink" Target="https://www.pcp.pt/solucao-prevencao-pela-esterilizacao-rede-publica-de-veterinarios-nao-abate-de-animais-abandonados" TargetMode="External"/><Relationship Id="rId63" Type="http://schemas.openxmlformats.org/officeDocument/2006/relationships/hyperlink" Target="https://www.pcp.pt/campanha-nacional-de-esterilizacao-de-animais-errantes-0" TargetMode="External"/><Relationship Id="rId64" Type="http://schemas.openxmlformats.org/officeDocument/2006/relationships/hyperlink" Target="https://programa.partidolivre.pt/propostas/N.13/" TargetMode="External"/><Relationship Id="rId65" Type="http://schemas.openxmlformats.org/officeDocument/2006/relationships/hyperlink" Target="https://maratonapelosanimais.pt/wp-content/uploads/2024/03/respostas-completas.pdf" TargetMode="External"/><Relationship Id="rId66" Type="http://schemas.openxmlformats.org/officeDocument/2006/relationships/hyperlink" Target="https://www.cidp.pt/revistas/rjlb/2019/2/2019_02_0077_0095.pdf" TargetMode="External"/><Relationship Id="rId67" Type="http://schemas.openxmlformats.org/officeDocument/2006/relationships/hyperlink" Target="https://www.cidp.pt/revistas/rjlb/2019/2/2019_02_0305_0348.pdf" TargetMode="External"/><Relationship Id="rId68" Type="http://schemas.openxmlformats.org/officeDocument/2006/relationships/hyperlink" Target="https://cej.justica.gov.pt/LinkClick.aspx?fileticket=VpuQj7jZ-us%3D&amp;portalid=30" TargetMode="External"/><Relationship Id="rId69" Type="http://schemas.openxmlformats.org/officeDocument/2006/relationships/hyperlink" Target="https://www.cidp.pt/revistas/rjlb/2023/3/2023_03_1215_1242.pdf" TargetMode="External"/><Relationship Id="rId70" Type="http://schemas.openxmlformats.org/officeDocument/2006/relationships/hyperlink" Target="https://jurisprudencia.pt/acordao/76412/" TargetMode="External"/><Relationship Id="rId71" Type="http://schemas.openxmlformats.org/officeDocument/2006/relationships/hyperlink" Target="https://trc.pt/responsabilidade-civil-danos-causados-por-animais-dever-de-vigilancia/" TargetMode="External"/><Relationship Id="rId72" Type="http://schemas.openxmlformats.org/officeDocument/2006/relationships/hyperlink" Target="https://jurisprudencia.pt/acordao/128487/" TargetMode="External"/><Relationship Id="rId73" Type="http://schemas.openxmlformats.org/officeDocument/2006/relationships/hyperlink" Target="https://www.tribunalconstitucional.pt/tc/acordaos/20210867.html" TargetMode="External"/><Relationship Id="rId74" Type="http://schemas.openxmlformats.org/officeDocument/2006/relationships/hyperlink" Target="https://www.tribunalconstitucional.pt/tc/acordaos/20240070.html" TargetMode="External"/><Relationship Id="rId75" Type="http://schemas.openxmlformats.org/officeDocument/2006/relationships/hyperlink" Target="https://jurisprudencia.pt/acordao/221373/" TargetMode="External"/><Relationship Id="rId76" Type="http://schemas.openxmlformats.org/officeDocument/2006/relationships/hyperlink" Target="https://www.tribunalconstitucional.pt/tc/acordaos/20240478.html" TargetMode="External"/><Relationship Id="rId77" Type="http://schemas.openxmlformats.org/officeDocument/2006/relationships/hyperlink" Target="https://www.dgsi.pt/jtrl.nsf/33182fc732316039802565fa00497eec/7462ba7a0546bac680258c8b0049a31e?OpenDocument" TargetMode="External"/><Relationship Id="rId78" Type="http://schemas.openxmlformats.org/officeDocument/2006/relationships/hyperlink" Target="https://www.dgsi.pt/jtrp.nsf/56a6e7121657f91e80257cda00381fdf/703e8b815ea39ece80258b34004b8157" TargetMode="External"/><Relationship Id="rId79" Type="http://schemas.openxmlformats.org/officeDocument/2006/relationships/hyperlink" Target="https://jurisprudencia.pt/acordao/200915/" TargetMode="External"/><Relationship Id="rId80" Type="http://schemas.openxmlformats.org/officeDocument/2006/relationships/hyperlink" Target="https://www.nature.com/articles/ncomms2380" TargetMode="External"/><Relationship Id="rId81" Type="http://schemas.openxmlformats.org/officeDocument/2006/relationships/hyperlink" Target="https://doi.org/10.2460/javma.2005.227.1775" TargetMode="External"/><Relationship Id="rId82" Type="http://schemas.openxmlformats.org/officeDocument/2006/relationships/hyperlink" Target="https://www.frontiersin.org/journals/veterinary-science/articles/10.3389/fvets.2019.00238/full" TargetMode="External"/><Relationship Id="rId83" Type="http://schemas.openxmlformats.org/officeDocument/2006/relationships/hyperlink" Target="https://www.frontiersin.org/journals/veterinary-science/articles/10.3389/fvets.2019.00077/full" TargetMode="External"/><Relationship Id="rId84" Type="http://schemas.openxmlformats.org/officeDocument/2006/relationships/hyperlink" Target="https://doi.org/10.1093/jel/eqz035" TargetMode="External"/><Relationship Id="rId85" Type="http://schemas.openxmlformats.org/officeDocument/2006/relationships/hyperlink" Target="https://pmc.ncbi.nlm.nih.gov/articles/PMC9169806/" TargetMode="External"/><Relationship Id="rId86" Type="http://schemas.openxmlformats.org/officeDocument/2006/relationships/hyperlink" Target="https://pmc.ncbi.nlm.nih.gov/articles/PMC11939513/" TargetMode="External"/><Relationship Id="rId87" Type="http://schemas.openxmlformats.org/officeDocument/2006/relationships/hyperlink" Target="https://dspace.uevora.pt/rdpc/bitstream/10174/38522/1/Gal%C3%A3o%20et%20al_2025_When%20pets%20go%20wild.pdf" TargetMode="External"/><Relationship Id="rId8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