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Desde 1 de outubro de 2020, o artigo 1.º-A da Lei n.º 92/95, aditado pela Lei n.º 39/2020, impõe aos municípios o </w:t>
      </w:r>
      <w:r>
        <w:rPr>
          <w:rFonts w:ascii="Aptos" w:hAnsi="Aptos" w:cs="Aptos" w:eastAsia="Aptos"/>
          <w:b/>
          <w:i w:val="0"/>
          <w:color w:val="2B2B2B"/>
          <w:sz w:val="20"/>
        </w:rPr>
        <w:t>dever</w:t>
      </w:r>
      <w:r>
        <w:rPr>
          <w:rFonts w:ascii="Aptos" w:hAnsi="Aptos" w:cs="Aptos" w:eastAsia="Aptos"/>
          <w:b w:val="0"/>
          <w:i w:val="0"/>
          <w:color w:val="2B2B2B"/>
          <w:sz w:val="20"/>
        </w:rPr>
        <w:t xml:space="preserve"> de desencadear a recolha ou captura de animais havendo evidência de sinais de crimes de maus-tratos — poder autónomo, que não depende de fogo, de habitação nem de registo do alojamento.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e resolução das questões interpretativas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poder de remoção do n.º 5 do artigo 3.º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120" w:after="0" w:line="293" w:lineRule="auto"/>
            </w:pPr>
            <w:r>
              <w:rPr>
                <w:rFonts w:ascii="Aptos" w:hAnsi="Aptos" w:cs="Aptos" w:eastAsia="Aptos"/>
                <w:b w:val="0"/>
                <w:i w:val="0"/>
                <w:color w:val="7C8894"/>
                <w:sz w:val="15"/>
              </w:rPr>
              <w:t>N.º 5 do artigo 3.º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Sim, a câmara municipal pode notificar o titular de um alojamento registado — mas o fundamento tem de ser o n.º 1, e não o n.º 2.</w:t>
            </w:r>
            <w:r>
              <w:rPr>
                <w:rFonts w:ascii="Aptos" w:hAnsi="Aptos" w:cs="Aptos" w:eastAsia="Aptos"/>
                <w:b w:val="0"/>
                <w:i w:val="0"/>
                <w:color w:val="2B2B2B"/>
                <w:sz w:val="20"/>
              </w:rPr>
              <w:t xml:space="preserve"> O n.º 5 desencadeia-se pelo «não cumprimento do disposto nos números anteriores». O n.º 1 aplica-se a toda a gente, incluindo ao alojamento registado. O n.º 2 não tem, aí, campo operativo, por falta de fogo.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distinção não é académica: determina a fundamentação do ato. Uma notificação que invoque o excesso sobre quatro animais num alojamento registado é ilegal por erro nos pressupostos; uma que invoque a conspurcação ambiental ou o risco de doenças transmissíveis ao homem é legal, ainda que o alojamento esteja regularmente comunicado à DGAV.</w:t>
      </w:r>
    </w:p>
    <w:p>
      <w:pPr>
        <w:keepNext/>
        <w:spacing w:before="200" w:after="60" w:line="293" w:lineRule="auto"/>
      </w:pPr>
      <w:r>
        <w:rPr>
          <w:rFonts w:ascii="Aptos" w:hAnsi="Aptos" w:cs="Aptos" w:eastAsia="Aptos"/>
          <w:b/>
          <w:i w:val="0"/>
          <w:color w:val="5C7891"/>
          <w:sz w:val="19"/>
        </w:rPr>
        <w:t>A câmara não é estranha ao regime dos alojamentos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das competências atribuídas por lei a outras entidades, compete, em especial, à DGAV, aos médicos veterinários municipais, à Autoridade de Segurança Alimentar e Económica, ao ICNF, I. P., às câmaras municipais, à PM, à GNR, à PSP e, em geral, a todas as autoridades policiais assegurar a fiscalização do cumprimento das normas constantes do presente diploma.</w:t>
            </w:r>
          </w:p>
          <w:p>
            <w:pPr>
              <w:spacing w:before="120" w:after="0" w:line="293" w:lineRule="auto"/>
            </w:pPr>
            <w:r>
              <w:rPr>
                <w:rFonts w:ascii="Aptos" w:hAnsi="Aptos" w:cs="Aptos" w:eastAsia="Aptos"/>
                <w:b w:val="0"/>
                <w:i w:val="0"/>
                <w:color w:val="7C8894"/>
                <w:sz w:val="15"/>
              </w:rPr>
              <w:t>Artigo 66.º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objeção de que o município estaria a intrometer-se em matéria alheia improcede: o próprio diploma dos alojamentos o inclui, pelo nome, entre as entidades de fiscalização.</w:t>
      </w:r>
    </w:p>
    <w:p>
      <w:pPr>
        <w:keepNext/>
        <w:spacing w:before="200" w:after="60" w:line="293" w:lineRule="auto"/>
      </w:pPr>
      <w:r>
        <w:rPr>
          <w:rFonts w:ascii="Aptos" w:hAnsi="Aptos" w:cs="Aptos" w:eastAsia="Aptos"/>
          <w:b/>
          <w:i w:val="0"/>
          <w:color w:val="5C7891"/>
          <w:sz w:val="19"/>
        </w:rPr>
        <w:t>Dois limites formais e uma lacuna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Vistoria conjunta prévia.</w:t>
      </w:r>
      <w:r>
        <w:rPr>
          <w:rFonts w:ascii="Aptos" w:hAnsi="Aptos" w:cs="Aptos" w:eastAsia="Aptos"/>
          <w:b w:val="0"/>
          <w:i w:val="0"/>
          <w:color w:val="2B2B2B"/>
          <w:sz w:val="20"/>
        </w:rPr>
        <w:t xml:space="preserve"> A notificação sem vistoria do delegado de saúde </w:t>
      </w:r>
      <w:r>
        <w:rPr>
          <w:rFonts w:ascii="Aptos" w:hAnsi="Aptos" w:cs="Aptos" w:eastAsia="Aptos"/>
          <w:b/>
          <w:i w:val="0"/>
          <w:color w:val="2B2B2B"/>
          <w:sz w:val="20"/>
        </w:rPr>
        <w:t>e</w:t>
      </w:r>
      <w:r>
        <w:rPr>
          <w:rFonts w:ascii="Aptos" w:hAnsi="Aptos" w:cs="Aptos" w:eastAsia="Aptos"/>
          <w:b w:val="0"/>
          <w:i w:val="0"/>
          <w:color w:val="2B2B2B"/>
          <w:sz w:val="20"/>
        </w:rPr>
        <w:t xml:space="preserve"> do médico veterinário municipal é ato preterido de formalidade essencial.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Opção do detentor.</w:t>
      </w:r>
      <w:r>
        <w:rPr>
          <w:rFonts w:ascii="Aptos" w:hAnsi="Aptos" w:cs="Aptos" w:eastAsia="Aptos"/>
          <w:b w:val="0"/>
          <w:i w:val="0"/>
          <w:color w:val="2B2B2B"/>
          <w:sz w:val="20"/>
        </w:rPr>
        <w:t xml:space="preserve"> A remoção não é para o canil municipal por imposição: o detentor pode optar «por outro destino que reúna as condições estabelecidas pelo presente diploma». É medida de polícia sanitária, não apreensão.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Lacuna de articulação.</w:t>
      </w:r>
      <w:r>
        <w:rPr>
          <w:rFonts w:ascii="Aptos" w:hAnsi="Aptos" w:cs="Aptos" w:eastAsia="Aptos"/>
          <w:b w:val="0"/>
          <w:i w:val="0"/>
          <w:color w:val="2B2B2B"/>
          <w:sz w:val="20"/>
        </w:rPr>
        <w:t xml:space="preserve"> Nada obriga a câmara a articular-se com a DGAV antes de mandar retirar animais de um estabelecimento comunicado, nem a DGAV a informar a câmara de que o estabelecimento existe. Duas autoridades podem agir sobre a mesma instalação sem norma de coordenação — o que confirma, deste lado, o que o ponto 6.4 observara.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Efeito na conclusão.</w:t>
            </w:r>
            <w:r>
              <w:rPr>
                <w:rFonts w:ascii="Aptos" w:hAnsi="Aptos" w:cs="Aptos" w:eastAsia="Aptos"/>
                <w:b w:val="0"/>
                <w:i w:val="0"/>
                <w:color w:val="2B2B2B"/>
                <w:sz w:val="19"/>
              </w:rPr>
              <w:t xml:space="preserve"> A questão 8 era a que poderia esvaziar a tese na prática, e não a esvazia: o poder existe, mas com fundamento diferente daquele que a leitura contrária lhe daria. A tese mantém-se, e ganha em precisão — o que muda não é se a câmara pode agir, é </w:t>
            </w:r>
            <w:r>
              <w:rPr>
                <w:rFonts w:ascii="Aptos" w:hAnsi="Aptos" w:cs="Aptos" w:eastAsia="Aptos"/>
                <w:b/>
                <w:i w:val="0"/>
                <w:color w:val="2B2B2B"/>
                <w:sz w:val="19"/>
              </w:rPr>
              <w:t>com que fundamento</w:t>
            </w:r>
            <w:r>
              <w:rPr>
                <w:rFonts w:ascii="Aptos" w:hAnsi="Aptos" w:cs="Aptos" w:eastAsia="Aptos"/>
                <w:b w:val="0"/>
                <w:i w:val="0"/>
                <w:color w:val="2B2B2B"/>
                <w:sz w:val="19"/>
              </w:rPr>
              <w:t>.</w:t>
            </w:r>
          </w:p>
        </w:tc>
      </w:tr>
    </w:tbl>
    <w:p>
      <w:pPr>
        <w:spacing w:before="0" w:after="180" w:line="293" w:lineRule="auto"/>
      </w:pPr>
    </w:p>
    <w:p>
      <w:pPr>
        <w:keepNext/>
        <w:spacing w:before="200" w:after="60" w:line="293" w:lineRule="auto"/>
      </w:pPr>
      <w:r>
        <w:rPr>
          <w:rFonts w:ascii="Aptos" w:hAnsi="Aptos" w:cs="Aptos" w:eastAsia="Aptos"/>
          <w:b/>
          <w:i w:val="0"/>
          <w:color w:val="5C7891"/>
          <w:sz w:val="19"/>
        </w:rPr>
        <w:t>O caso de Santo Tirso</w:t>
      </w:r>
    </w:p>
    <w:p>
      <w:pPr>
        <w:spacing w:before="0" w:after="140" w:line="293" w:lineRule="auto"/>
        <w:jc w:val="both"/>
      </w:pPr>
      <w:r>
        <w:rPr>
          <w:rFonts w:ascii="Aptos" w:hAnsi="Aptos" w:cs="Aptos" w:eastAsia="Aptos"/>
          <w:b w:val="0"/>
          <w:i w:val="0"/>
          <w:color w:val="2B2B2B"/>
          <w:sz w:val="20"/>
        </w:rPr>
        <w:t>O ponto tem um caso real recente, e é preciso confrontá-lo com a resposta dada, sob pena de esta valer apenas no papel.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93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Facto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2012</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w:t>
            </w:r>
            <w:r>
              <w:rPr>
                <w:rFonts w:ascii="Aptos" w:hAnsi="Aptos" w:cs="Aptos" w:eastAsia="Aptos"/>
                <w:b/>
                <w:i w:val="0"/>
                <w:color w:val="2B2B2B"/>
                <w:sz w:val="17"/>
              </w:rPr>
              <w:t>DGAV</w:t>
            </w:r>
            <w:r>
              <w:rPr>
                <w:rFonts w:ascii="Aptos" w:hAnsi="Aptos" w:cs="Aptos" w:eastAsia="Aptos"/>
                <w:b w:val="0"/>
                <w:i w:val="0"/>
                <w:color w:val="2B2B2B"/>
                <w:sz w:val="17"/>
              </w:rPr>
              <w:t xml:space="preserve"> emite despacho pedindo à câmara municipal de Santo Tirso diligências para </w:t>
            </w:r>
            <w:r>
              <w:rPr>
                <w:rFonts w:ascii="Aptos" w:hAnsi="Aptos" w:cs="Aptos" w:eastAsia="Aptos"/>
                <w:b/>
                <w:i w:val="0"/>
                <w:color w:val="2B2B2B"/>
                <w:sz w:val="17"/>
              </w:rPr>
              <w:t>retirar os animais</w:t>
            </w:r>
            <w:r>
              <w:rPr>
                <w:rFonts w:ascii="Aptos" w:hAnsi="Aptos" w:cs="Aptos" w:eastAsia="Aptos"/>
                <w:b w:val="0"/>
                <w:i w:val="0"/>
                <w:color w:val="2B2B2B"/>
                <w:sz w:val="17"/>
              </w:rPr>
              <w:t xml:space="preserve"> do abrigo «Cantinho das Quatro Patas»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2018</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câmara obtém parecer jurídico externo que conclui que «as câmaras não têm competência para encerrar abrigos de animais»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18.7.2020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Incêndio na Serra da Agrela; morrem 93 animais em dois abrigos — «Cantinho das 4 Patas» e «Abrigo de Paredes» —, </w:t>
            </w:r>
            <w:r>
              <w:rPr>
                <w:rFonts w:ascii="Aptos" w:hAnsi="Aptos" w:cs="Aptos" w:eastAsia="Aptos"/>
                <w:b/>
                <w:i w:val="0"/>
                <w:color w:val="2B2B2B"/>
                <w:sz w:val="17"/>
              </w:rPr>
              <w:t>sem qualquer registo na DGAV</w:t>
            </w:r>
            <w:r>
              <w:rPr>
                <w:rFonts w:ascii="Aptos" w:hAnsi="Aptos" w:cs="Aptos" w:eastAsia="Aptos"/>
                <w:b w:val="0"/>
                <w:i w:val="0"/>
                <w:color w:val="2B2B2B"/>
                <w:sz w:val="17"/>
              </w:rPr>
              <w:t>, já antes objeto de vistorias conjuntas e de processos de contraordenação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9.9.2026</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Tribunal de Matosinhos absolve os cinco arguidos, entre eles a antiga coordenadora da Proteção Civil e o ex-veterinário municipal, de mais de 230 crimes. O coletivo consigna que nenhum dos dois tinha poderes para ordenar a evacuação forçada dos espaços privados na noite do incêndio</w:t>
            </w:r>
          </w:p>
        </w:tc>
      </w:tr>
    </w:tbl>
    <w:p>
      <w:pPr>
        <w:spacing w:before="40" w:after="180" w:line="293" w:lineRule="auto"/>
      </w:pPr>
    </w:p>
    <w:p>
      <w:pPr>
        <w:keepNext/>
        <w:spacing w:before="200" w:after="60" w:line="293" w:lineRule="auto"/>
      </w:pPr>
      <w:r>
        <w:rPr>
          <w:rFonts w:ascii="Aptos" w:hAnsi="Aptos" w:cs="Aptos" w:eastAsia="Aptos"/>
          <w:b/>
          <w:i w:val="0"/>
          <w:color w:val="5C7891"/>
          <w:sz w:val="19"/>
        </w:rPr>
        <w:t>O que o caso não decide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Respeita a dois titulares de cargos, não à câmara municipal.</w:t>
      </w:r>
      <w:r>
        <w:rPr>
          <w:rFonts w:ascii="Aptos" w:hAnsi="Aptos" w:cs="Aptos" w:eastAsia="Aptos"/>
          <w:b w:val="0"/>
          <w:i w:val="0"/>
          <w:color w:val="2B2B2B"/>
          <w:sz w:val="20"/>
        </w:rPr>
        <w:t xml:space="preserve"> O n.º 5 do artigo 3.º confere o poder «às câmaras municipais», e exige vistoria conjunta prévia: é ato do órgão colegial, precedido de procedimento. O médico veterinário municipal e a coordenadora da Proteção Civil não são a câmara.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Respeita a uma evacuação forçada na noite de um incêndio</w:t>
      </w:r>
      <w:r>
        <w:rPr>
          <w:rFonts w:ascii="Aptos" w:hAnsi="Aptos" w:cs="Aptos" w:eastAsia="Aptos"/>
          <w:b w:val="0"/>
          <w:i w:val="0"/>
          <w:color w:val="2B2B2B"/>
          <w:sz w:val="20"/>
        </w:rPr>
        <w:t xml:space="preserve"> — medida de emergência de proteção civil —, e não à notificação para remoção do n.º 5, que é ato de polícia sanitária com procedimento próprio e prazo fixado.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Encerrar não é retirar.</w:t>
      </w:r>
      <w:r>
        <w:rPr>
          <w:rFonts w:ascii="Aptos" w:hAnsi="Aptos" w:cs="Aptos" w:eastAsia="Aptos"/>
          <w:b w:val="0"/>
          <w:i w:val="0"/>
          <w:color w:val="2B2B2B"/>
          <w:sz w:val="20"/>
        </w:rPr>
        <w:t xml:space="preserve"> O parecer de 2018 concluiu que as câmaras não podem </w:t>
      </w:r>
      <w:r>
        <w:rPr>
          <w:rFonts w:ascii="Aptos" w:hAnsi="Aptos" w:cs="Aptos" w:eastAsia="Aptos"/>
          <w:b/>
          <w:i w:val="0"/>
          <w:color w:val="2B2B2B"/>
          <w:sz w:val="20"/>
        </w:rPr>
        <w:t>encerrar</w:t>
      </w:r>
      <w:r>
        <w:rPr>
          <w:rFonts w:ascii="Aptos" w:hAnsi="Aptos" w:cs="Aptos" w:eastAsia="Aptos"/>
          <w:b w:val="0"/>
          <w:i w:val="0"/>
          <w:color w:val="2B2B2B"/>
          <w:sz w:val="20"/>
        </w:rPr>
        <w:t>, e está certo: o encerramento de estabelecimento é sanção acessória do artigo 69.º do Decreto-Lei n.º 276/2001, aplicada pelo diretor-geral nos termos do artigo 70.º. Este estudo nunca afirmou o contrário.</w:t>
      </w:r>
    </w:p>
    <w:p>
      <w:pPr>
        <w:keepNext/>
        <w:spacing w:before="200" w:after="60" w:line="293" w:lineRule="auto"/>
      </w:pPr>
      <w:r>
        <w:rPr>
          <w:rFonts w:ascii="Aptos" w:hAnsi="Aptos" w:cs="Aptos" w:eastAsia="Aptos"/>
          <w:b/>
          <w:i w:val="0"/>
          <w:color w:val="5C7891"/>
          <w:sz w:val="19"/>
        </w:rPr>
        <w:t>O que o caso confirma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articulação real vai no sentido aqui sustentado.</w:t>
      </w:r>
      <w:r>
        <w:rPr>
          <w:rFonts w:ascii="Aptos" w:hAnsi="Aptos" w:cs="Aptos" w:eastAsia="Aptos"/>
          <w:b w:val="0"/>
          <w:i w:val="0"/>
          <w:color w:val="2B2B2B"/>
          <w:sz w:val="20"/>
        </w:rPr>
        <w:t xml:space="preserve"> Em 2012 foi a DGAV a pedir à câmara que retirasse os animais. A prática da própria autoridade sanitária reconhece que o poder de remoção é municipal — isto é, o n.º 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com factos, a inibição descrita no ponto 15.7.</w:t>
      </w:r>
      <w:r>
        <w:rPr>
          <w:rFonts w:ascii="Aptos" w:hAnsi="Aptos" w:cs="Aptos" w:eastAsia="Aptos"/>
          <w:b w:val="0"/>
          <w:i w:val="0"/>
          <w:color w:val="2B2B2B"/>
          <w:sz w:val="20"/>
        </w:rPr>
        <w:t xml:space="preserve"> Abrigos não registados em zona rural, com vistorias feitas e contraordenações instauradas, e animais que ali permaneceram até morrerem. O sistema reativo não impediu nada.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Não se leu a decisão. O que antecede resulta de notícias sobre a leitura oral do acórdão, e trata-se de absolvição em primeira instância, suscetível de recurso. </w:t>
            </w:r>
            <w:r>
              <w:rPr>
                <w:rFonts w:ascii="Aptos" w:hAnsi="Aptos" w:cs="Aptos" w:eastAsia="Aptos"/>
                <w:b/>
                <w:i w:val="0"/>
                <w:color w:val="2B2B2B"/>
                <w:sz w:val="19"/>
              </w:rPr>
              <w:t>Obter o texto da decisão é a diligência mais útil que este estudo tem pendente</w:t>
            </w:r>
            <w:r>
              <w:rPr>
                <w:rFonts w:ascii="Aptos" w:hAnsi="Aptos" w:cs="Aptos" w:eastAsia="Aptos"/>
                <w:b w:val="0"/>
                <w:i w:val="0"/>
                <w:color w:val="2B2B2B"/>
                <w:sz w:val="19"/>
              </w:rPr>
              <w:t>, e só depois dela se poderá afirmar com segurança o que o tribunal decidiu quanto a competências.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caso ilustra o custo da tese contrária tanto quanto o da tese aqui sustentada: se a câmara entende não ter poderes e a DGAV depende da câmara para executar, o sistema não protege ninguém. É argumento de política legislativa, não de interpretação — mas é o argumento mais forte a favor de uma revisão que atribua expressamente a competência e os meios.</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alteração de 2020: um poder novo, que o caso não conheceu</w:t>
      </w:r>
    </w:p>
    <w:p>
      <w:pPr>
        <w:spacing w:before="0" w:after="140" w:line="293" w:lineRule="auto"/>
        <w:jc w:val="both"/>
      </w:pPr>
      <w:r>
        <w:rPr>
          <w:rFonts w:ascii="Aptos" w:hAnsi="Aptos" w:cs="Aptos" w:eastAsia="Aptos"/>
          <w:b w:val="0"/>
          <w:i w:val="0"/>
          <w:color w:val="2B2B2B"/>
          <w:sz w:val="20"/>
        </w:rPr>
        <w:t>A Lei n.º 39/2020, de 18 de agosto, que «altera o regime sancionatório aplicável aos crimes contra animais de companhia, procedendo à quinquagésima alteração ao Código Penal, à trigésima sétima alteração ao Código de Processo Penal e à terceira alteração à Lei n.º 92/95, de 12 de setembro», aditou àquela lei um artigo que interessa diretamente a esta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before="0" w:after="0" w:line="293" w:lineRule="auto"/>
              <w:jc w:val="both"/>
            </w:pPr>
            <w:r>
              <w:rPr>
                <w:rFonts w:ascii="Aptos" w:hAnsi="Aptos" w:cs="Aptos" w:eastAsia="Aptos"/>
                <w:b w:val="0"/>
                <w:i/>
                <w:color w:val="2B2B2B"/>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120" w:after="0" w:line="293" w:lineRule="auto"/>
            </w:pPr>
            <w:r>
              <w:rPr>
                <w:rFonts w:ascii="Aptos" w:hAnsi="Aptos" w:cs="Aptos" w:eastAsia="Aptos"/>
                <w:b w:val="0"/>
                <w:i w:val="0"/>
                <w:color w:val="7C8894"/>
                <w:sz w:val="15"/>
              </w:rPr>
              <w:t>Artigo 1.º-A da Lei n.º 92/95, aditado pela Lei n.º 39/2020, conferido no Diário da República, 1.ª série, n.º 160, de 18 de agosto de 2020, a páginas 11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É um poder </w:t>
            </w:r>
            <w:r>
              <w:rPr>
                <w:rFonts w:ascii="Aptos" w:hAnsi="Aptos" w:cs="Aptos" w:eastAsia="Aptos"/>
                <w:b/>
                <w:i w:val="0"/>
                <w:color w:val="2B2B2B"/>
                <w:sz w:val="20"/>
              </w:rPr>
              <w:t>autónomo</w:t>
            </w:r>
            <w:r>
              <w:rPr>
                <w:rFonts w:ascii="Aptos" w:hAnsi="Aptos" w:cs="Aptos" w:eastAsia="Aptos"/>
                <w:b w:val="0"/>
                <w:i w:val="0"/>
                <w:color w:val="2B2B2B"/>
                <w:sz w:val="20"/>
              </w:rPr>
              <w:t xml:space="preserve"> de recolha ou captura, atribuído expressamente aos municípios, e formulado como </w:t>
            </w:r>
            <w:r>
              <w:rPr>
                <w:rFonts w:ascii="Aptos" w:hAnsi="Aptos" w:cs="Aptos" w:eastAsia="Aptos"/>
                <w:b/>
                <w:i w:val="0"/>
                <w:color w:val="2B2B2B"/>
                <w:sz w:val="20"/>
              </w:rPr>
              <w:t>dever</w:t>
            </w:r>
            <w:r>
              <w:rPr>
                <w:rFonts w:ascii="Aptos" w:hAnsi="Aptos" w:cs="Aptos" w:eastAsia="Aptos"/>
                <w:b w:val="0"/>
                <w:i w:val="0"/>
                <w:color w:val="2B2B2B"/>
                <w:sz w:val="20"/>
              </w:rPr>
              <w:t xml:space="preserve"> — «devem desencadear os meios». Não depende de fogo, de habitação, de registo do alojamento, nem do artigo 3.º do Decreto-Lei n.º 314/2003. O seu pressuposto é outro: a evidência de sinais da prática de crimes de maus-tratos.</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Fecha parte da lacuna do ponto 15.7</w:t>
      </w:r>
      <w:r>
        <w:rPr>
          <w:rFonts w:ascii="Aptos" w:hAnsi="Aptos" w:cs="Aptos" w:eastAsia="Aptos"/>
          <w:b w:val="0"/>
          <w:i w:val="0"/>
          <w:color w:val="2B2B2B"/>
          <w:sz w:val="20"/>
        </w:rPr>
        <w:t>, mas só parte: cobre o maus-tratos, não o mero excesso numérico nem a insalubridade que não chegue a ilícito criminal.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Confirma a linha do argumento do silêncio qualificado.</w:t>
      </w:r>
      <w:r>
        <w:rPr>
          <w:rFonts w:ascii="Aptos" w:hAnsi="Aptos" w:cs="Aptos" w:eastAsia="Aptos"/>
          <w:b w:val="0"/>
          <w:i w:val="0"/>
          <w:color w:val="2B2B2B"/>
          <w:sz w:val="20"/>
        </w:rPr>
        <w:t xml:space="preserve"> Quando o legislador quis atribuir aos municípios um poder de retirar animais, atribuiu-o expressamente, em norma própria e com o verbo no imperativo.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Uma assimetria a registar.</w:t>
      </w:r>
      <w:r>
        <w:rPr>
          <w:rFonts w:ascii="Aptos" w:hAnsi="Aptos" w:cs="Aptos" w:eastAsia="Aptos"/>
          <w:b w:val="0"/>
          <w:i w:val="0"/>
          <w:color w:val="2B2B2B"/>
          <w:sz w:val="20"/>
        </w:rPr>
        <w:t xml:space="preserve"> O mandado judicial do n.º 2 assegura o acesso «das forças de segurança ou órgãos de polícia criminal» — não dos municípios. O município que veja o acesso recusado não tem, por esta via, mandado próprio; terá de recorrer ao n.º 2 do artigo 67.º-A do Decreto-Lei n.º 276/2001, que o admite para as autoridades competentes, entre as quais figura, nos termos da al. x) do n.º 1 do artigo 2.º.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para a leitura do caso de Santo Tirso.</w:t>
            </w:r>
            <w:r>
              <w:rPr>
                <w:rFonts w:ascii="Aptos" w:hAnsi="Aptos" w:cs="Aptos" w:eastAsia="Aptos"/>
                <w:b w:val="0"/>
                <w:i w:val="0"/>
                <w:color w:val="2B2B2B"/>
                <w:sz w:val="19"/>
              </w:rPr>
              <w:t xml:space="preserve"> A Lei n.º 39/2020 foi aprovada em 23 de julho de 2020 e entrou em vigor, nos termos do seu artigo 6.º, «no primeiro dia do segundo mês seguinte ao da sua publicação» — </w:t>
            </w:r>
            <w:r>
              <w:rPr>
                <w:rFonts w:ascii="Aptos" w:hAnsi="Aptos" w:cs="Aptos" w:eastAsia="Aptos"/>
                <w:b/>
                <w:i w:val="0"/>
                <w:color w:val="2B2B2B"/>
                <w:sz w:val="19"/>
              </w:rPr>
              <w:t>1 de outubro de 2020</w:t>
            </w:r>
            <w:r>
              <w:rPr>
                <w:rFonts w:ascii="Aptos" w:hAnsi="Aptos" w:cs="Aptos" w:eastAsia="Aptos"/>
                <w:b w:val="0"/>
                <w:i w:val="0"/>
                <w:color w:val="2B2B2B"/>
                <w:sz w:val="19"/>
              </w:rPr>
              <w:t xml:space="preserve">. O incêndio ocorreu em 18 de julho de 2020. </w:t>
            </w:r>
            <w:r>
              <w:rPr>
                <w:rFonts w:ascii="Aptos" w:hAnsi="Aptos" w:cs="Aptos" w:eastAsia="Aptos"/>
                <w:b/>
                <w:i w:val="0"/>
                <w:color w:val="2B2B2B"/>
                <w:sz w:val="19"/>
              </w:rPr>
              <w:t>O poder do artigo 1.º-A não existia à data dos factos.</w:t>
            </w:r>
            <w:r>
              <w:rPr>
                <w:rFonts w:ascii="Aptos" w:hAnsi="Aptos" w:cs="Aptos" w:eastAsia="Aptos"/>
                <w:b w:val="0"/>
                <w:i w:val="0"/>
                <w:color w:val="2B2B2B"/>
                <w:sz w:val="19"/>
              </w:rPr>
              <w:t xml:space="preserve"> A absolvição não pode, por isso, ser lida como afirmando que os municípios carecem hoje de poderes de recolha. A proximidade de datas entre o incêndio e a aprovação é cronológica; o processo legislativo precedeu-o, e não se verificou se o caso influenciou o debate final.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9.6  </w:t>
      </w:r>
      <w:r>
        <w:rPr>
          <w:rFonts w:ascii="Aptos" w:hAnsi="Aptos" w:cs="Aptos" w:eastAsia="Aptos"/>
          <w:b/>
          <w:i w:val="0"/>
          <w:color w:val="35506B"/>
          <w:sz w:val="21"/>
        </w:rPr>
        <w:t>Especialidade ou posterioridade</w:t>
      </w:r>
    </w:p>
    <w:p>
      <w:pPr>
        <w:spacing w:before="0" w:after="140" w:line="293" w:lineRule="auto"/>
        <w:jc w:val="both"/>
      </w:pPr>
      <w:r>
        <w:rPr>
          <w:rFonts w:ascii="Aptos" w:hAnsi="Aptos" w:cs="Aptos" w:eastAsia="Aptos"/>
          <w:b w:val="0"/>
          <w:i w:val="0"/>
          <w:color w:val="2B2B2B"/>
          <w:sz w:val="20"/>
        </w:rPr>
        <w:t>A última questão só se põe a quem sustente que há conflito entre os dois diplomas. Este estudo sustenta que não há — os campos não se sobrepõem quanto aos números. Ainda assim, importa mostrar que, mesmo concedendo a premissa, nenhum dos dois critérios resolve a favor da tese contrária.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Quando se não destine a ter vigência temporária, a lei só deixa de vigorar se for revogada por outra lei.</w:t>
            </w:r>
          </w:p>
          <w:p>
            <w:pPr>
              <w:spacing w:before="0" w:after="0" w:line="293" w:lineRule="auto"/>
              <w:jc w:val="both"/>
            </w:pPr>
            <w:r>
              <w:rPr>
                <w:rFonts w:ascii="Aptos" w:hAnsi="Aptos" w:cs="Aptos" w:eastAsia="Aptos"/>
                <w:b w:val="0"/>
                <w:i/>
                <w:color w:val="2B2B2B"/>
                <w:sz w:val="19"/>
              </w:rPr>
              <w:t>3. A lei geral não revoga a lei especial, excepto se outra for a intenção inequívoca do legislador.</w:t>
            </w:r>
          </w:p>
          <w:p>
            <w:pPr>
              <w:spacing w:before="120" w:after="0" w:line="293" w:lineRule="auto"/>
            </w:pPr>
            <w:r>
              <w:rPr>
                <w:rFonts w:ascii="Aptos" w:hAnsi="Aptos" w:cs="Aptos" w:eastAsia="Aptos"/>
                <w:b w:val="0"/>
                <w:i w:val="0"/>
                <w:color w:val="7C8894"/>
                <w:sz w:val="15"/>
              </w:rPr>
              <w:t>N.ºs 1 e 3 do artigo 7.º do Código Civil, conferidos no Diário do Governo n.º 274, I série, de 25 de novembro de 1966, a páginas 1886</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posterioridade não favorece o Decreto-Lei n.º 314/2003, ao contrário do que parece.</w:t>
      </w:r>
      <w:r>
        <w:rPr>
          <w:rFonts w:ascii="Aptos" w:hAnsi="Aptos" w:cs="Aptos" w:eastAsia="Aptos"/>
          <w:b w:val="0"/>
          <w:i w:val="0"/>
          <w:color w:val="2B2B2B"/>
          <w:sz w:val="20"/>
        </w:rPr>
        <w:t xml:space="preserve"> É certo que é de 17 de dezembro de 2003 e o Decreto-Lei n.º 276/2001 é de 17 de outubro de 2001. Mas o artigo 3.º do primeiro </w:t>
      </w:r>
      <w:r>
        <w:rPr>
          <w:rFonts w:ascii="Aptos" w:hAnsi="Aptos" w:cs="Aptos" w:eastAsia="Aptos"/>
          <w:b/>
          <w:i w:val="0"/>
          <w:color w:val="2B2B2B"/>
          <w:sz w:val="20"/>
        </w:rPr>
        <w:t>nunca foi alterado</w:t>
      </w:r>
      <w:r>
        <w:rPr>
          <w:rFonts w:ascii="Aptos" w:hAnsi="Aptos" w:cs="Aptos" w:eastAsia="Aptos"/>
          <w:b w:val="0"/>
          <w:i w:val="0"/>
          <w:color w:val="2B2B2B"/>
          <w:sz w:val="20"/>
        </w:rPr>
        <w:t xml:space="preserve">, ao passo que o segundo foi revisto em 2003, 2007, 2012, 2017, 2019 e 2021. Confrontados os textos </w:t>
      </w:r>
      <w:r>
        <w:rPr>
          <w:rFonts w:ascii="Aptos" w:hAnsi="Aptos" w:cs="Aptos" w:eastAsia="Aptos"/>
          <w:b/>
          <w:i w:val="0"/>
          <w:color w:val="2B2B2B"/>
          <w:sz w:val="20"/>
        </w:rPr>
        <w:t>em vigor</w:t>
      </w:r>
      <w:r>
        <w:rPr>
          <w:rFonts w:ascii="Aptos" w:hAnsi="Aptos" w:cs="Aptos" w:eastAsia="Aptos"/>
          <w:b w:val="0"/>
          <w:i w:val="0"/>
          <w:color w:val="2B2B2B"/>
          <w:sz w:val="20"/>
        </w:rPr>
        <w:t>, o mais recente é o do diploma dos alojamentos.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 especialidade não resolve, porque os diplomas são especiais em planos diferentes.</w:t>
      </w:r>
      <w:r>
        <w:rPr>
          <w:rFonts w:ascii="Aptos" w:hAnsi="Aptos" w:cs="Aptos" w:eastAsia="Aptos"/>
          <w:b w:val="0"/>
          <w:i w:val="0"/>
          <w:color w:val="2B2B2B"/>
          <w:sz w:val="20"/>
        </w:rPr>
        <w:t xml:space="preserve"> O Decreto-Lei n.º 276/2001 é especial quanto à atividade de exploração de alojamentos; o Decreto-Lei n.º 314/2003 é especial quanto à polícia sanitária. O n.º 3 do artigo 7.º do Código Civil pressupõe uma relação de género e espécie que aqui não existe.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nenhum deles revogou o outro.</w:t>
      </w:r>
      <w:r>
        <w:rPr>
          <w:rFonts w:ascii="Aptos" w:hAnsi="Aptos" w:cs="Aptos" w:eastAsia="Aptos"/>
          <w:b w:val="0"/>
          <w:i w:val="0"/>
          <w:color w:val="2B2B2B"/>
          <w:sz w:val="20"/>
        </w:rPr>
        <w:t xml:space="preserve"> Nos termos do n.º 1 do artigo 7.º do Código Civil, a lei só deixa de vigorar se for revogada; nenhum dos dois o fez, nem expressa nem tacitamente, quanto a esta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instrumento correto não é a revogação, é a </w:t>
            </w:r>
            <w:r>
              <w:rPr>
                <w:rFonts w:ascii="Aptos" w:hAnsi="Aptos" w:cs="Aptos" w:eastAsia="Aptos"/>
                <w:b/>
                <w:i w:val="0"/>
                <w:color w:val="2B2B2B"/>
                <w:sz w:val="20"/>
              </w:rPr>
              <w:t>delimitação de âmbito</w:t>
            </w:r>
            <w:r>
              <w:rPr>
                <w:rFonts w:ascii="Aptos" w:hAnsi="Aptos" w:cs="Aptos" w:eastAsia="Aptos"/>
                <w:b w:val="0"/>
                <w:i w:val="0"/>
                <w:color w:val="2B2B2B"/>
                <w:sz w:val="20"/>
              </w:rPr>
              <w:t xml:space="preserve">. Os critérios do artigo 7.º do Código Civil servem para escolher entre normas incompatíveis; não servem para decidir se duas normas são incompatíveis. </w:t>
            </w:r>
            <w:r>
              <w:rPr>
                <w:rFonts w:ascii="Aptos" w:hAnsi="Aptos" w:cs="Aptos" w:eastAsia="Aptos"/>
                <w:b/>
                <w:i w:val="0"/>
                <w:color w:val="2B2B2B"/>
                <w:sz w:val="20"/>
              </w:rPr>
              <w:t>Efeito na conclusão: neutro</w:t>
            </w:r>
            <w:r>
              <w:rPr>
                <w:rFonts w:ascii="Aptos" w:hAnsi="Aptos" w:cs="Aptos" w:eastAsia="Aptos"/>
                <w:b w:val="0"/>
                <w:i w:val="0"/>
                <w:color w:val="2B2B2B"/>
                <w:sz w:val="20"/>
              </w:rPr>
              <w:t xml:space="preserve"> — e, se alguma coisa, o critério cronológico, bem aplicado, milita contra a tese da sobreposição.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9.7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de recolha ou captura, havendo evidência de sinais de crimes de maus-tratos</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1.º-A da Lei n.º 92/95, aditado pela Lei n.º 39/2020</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autónomo dos municípios, desde 1.10.2020 — ver ponto 9.5</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Registo das questões cuja resposta condiciona a conclusão. As questões 1 a 3 foram enumeradas pelo grupo; as 4 a 9 resultaram da análise. </w:t>
      </w:r>
      <w:r>
        <w:rPr>
          <w:rFonts w:ascii="Aptos" w:hAnsi="Aptos" w:cs="Aptos" w:eastAsia="Aptos"/>
          <w:b/>
          <w:i w:val="0"/>
          <w:color w:val="2B2B2B"/>
          <w:sz w:val="20"/>
        </w:rPr>
        <w:t>Todas receberam resposta</w:t>
      </w:r>
      <w:r>
        <w:rPr>
          <w:rFonts w:ascii="Aptos" w:hAnsi="Aptos" w:cs="Aptos" w:eastAsia="Aptos"/>
          <w:b w:val="0"/>
          <w:i w:val="0"/>
          <w:color w:val="2B2B2B"/>
          <w:sz w:val="20"/>
        </w:rPr>
        <w:t>, e o capítulo 2 incorpora o que de cada uma resultou. O quadro mantém-se como registo do percurso e para reabertura, caso surja elemento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Não se obteve o texto do acórdão do Tribunal de Matosinhos de 9 de setembro de 2026, sobre os abrigos de Santo Tirso, usado no ponto 9.5 a partir de notícias. É a diligência pendente mais útil, e condiciona o que sobre ele se pode afirmar.</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privado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