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55555"/>
          <w:sz w:val="19"/>
        </w:rPr>
        <w:t>DIREÇÃO-GERAL DE ALIMENTAÇÃO E VETERINÁRIA</w:t>
      </w:r>
    </w:p>
    <w:p>
      <w:pPr>
        <w:spacing w:after="280"/>
      </w:pPr>
      <w:r>
        <w:rPr>
          <w:b w:val="0"/>
          <w:i w:val="0"/>
          <w:color w:val="555555"/>
          <w:sz w:val="19"/>
        </w:rPr>
        <w:t>Direção de Serviços de Bem-Estar Animal</w:t>
      </w:r>
    </w:p>
    <w:p>
      <w:pPr>
        <w:spacing w:after="40"/>
      </w:pPr>
      <w:r>
        <w:rPr>
          <w:b/>
          <w:color w:val="1F3B63"/>
          <w:sz w:val="32"/>
        </w:rPr>
        <w:t>FUNDAMENTAÇÃO DAS OBSERVAÇÕES</w:t>
      </w:r>
    </w:p>
    <w:p>
      <w:pPr>
        <w:spacing w:after="40"/>
      </w:pPr>
      <w:r>
        <w:rPr>
          <w:b/>
          <w:i w:val="0"/>
          <w:sz w:val="24"/>
        </w:rPr>
        <w:t>Projeto de DL das atividades económicas — DL 405/XXV/2026</w:t>
      </w:r>
    </w:p>
    <w:p>
      <w:pPr>
        <w:spacing w:after="280"/>
      </w:pPr>
      <w:r>
        <w:rPr>
          <w:b w:val="0"/>
          <w:i w:val="0"/>
          <w:color w:val="555555"/>
          <w:sz w:val="21"/>
        </w:rPr>
        <w:t>Documento de apoio interno. Acompanha a série de observações enviadas ponto a ponto.</w:t>
      </w:r>
    </w:p>
    <w:p>
      <w:pPr>
        <w:spacing w:before="360" w:after="120"/>
      </w:pPr>
      <w:r>
        <w:rPr>
          <w:b/>
          <w:color w:val="1F3B63"/>
          <w:sz w:val="26"/>
        </w:rPr>
        <w:t>Nota de utilização</w:t>
      </w:r>
    </w:p>
    <w:p>
      <w:pPr>
        <w:spacing w:after="120"/>
      </w:pPr>
      <w:r>
        <w:rPr>
          <w:b w:val="0"/>
          <w:i w:val="0"/>
          <w:sz w:val="21"/>
        </w:rPr>
        <w:t>Cada ponto da série de observações é enviado em texto curto, com um máximo de palavras fixado, para seguir na resposta à Direção de Serviços. Esse texto é deliberadamente contido: situa a norma, articula com a legislação vigente e com o Regulamento (UE) 2026/1818 e deixa a decisão à consideração de quem decide.</w:t>
      </w:r>
    </w:p>
    <w:p>
      <w:pPr>
        <w:spacing w:after="120"/>
      </w:pPr>
      <w:r>
        <w:rPr>
          <w:b w:val="0"/>
          <w:i w:val="0"/>
          <w:sz w:val="21"/>
        </w:rPr>
        <w:t>Este documento guarda o que fica de fora: a demonstração completa, as citações verbatim, a análise das alterações registadas no ficheiro, as inferências assumidas como tais e as fontes com referência exata. Serve para sustentar a posição se ela for questionada, e para que outra pessoa possa retomar o trabalho sem repetir a verificação.</w:t>
      </w:r>
    </w:p>
    <w:p>
      <w:pPr>
        <w:spacing w:after="120"/>
      </w:pPr>
      <w:r>
        <w:rPr>
          <w:b w:val="0"/>
          <w:i w:val="0"/>
          <w:sz w:val="21"/>
        </w:rPr>
        <w:t>É atualizado à medida que cada ponto é trabalhado. O registo de alterações está no fim.</w:t>
      </w:r>
    </w:p>
    <w:p>
      <w:pPr>
        <w:spacing w:before="360" w:after="120"/>
      </w:pPr>
      <w:r>
        <w:rPr>
          <w:b/>
          <w:color w:val="1F3B63"/>
          <w:sz w:val="26"/>
        </w:rPr>
        <w:t>Índice da série e numeração</w:t>
      </w:r>
    </w:p>
    <w:p>
      <w:pPr>
        <w:spacing w:after="120"/>
      </w:pPr>
      <w:r>
        <w:rPr>
          <w:b w:val="0"/>
          <w:i w:val="0"/>
          <w:sz w:val="21"/>
        </w:rPr>
        <w:t>A numeração é a da série de observações, e não a do diploma. Foi fixada à medida que os pontos foram sendo trabalhados; os pontos 01 e 02 estão fechados, os seguintes estão previstos e a ordem pode mudar.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tcPr>
          <w:p>
            <w:pPr>
              <w:spacing w:after="40"/>
            </w:pPr>
            <w:r/>
            <w:r>
              <w:rPr>
                <w:b/>
                <w:color w:val="1F3B63"/>
                <w:sz w:val="18"/>
              </w:rPr>
              <w:t>N.º</w:t>
            </w:r>
          </w:p>
        </w:tc>
        <w:tc>
          <w:tcPr>
            <w:tcW w:type="dxa" w:w="3515"/>
          </w:tcPr>
          <w:p>
            <w:pPr>
              <w:spacing w:after="40"/>
            </w:pPr>
            <w:r/>
            <w:r>
              <w:rPr>
                <w:b/>
                <w:color w:val="1F3B63"/>
                <w:sz w:val="18"/>
              </w:rPr>
              <w:t>Tema</w:t>
            </w:r>
          </w:p>
        </w:tc>
        <w:tc>
          <w:tcPr>
            <w:tcW w:type="dxa" w:w="2438"/>
          </w:tcPr>
          <w:p>
            <w:pPr>
              <w:spacing w:after="40"/>
            </w:pPr>
            <w:r/>
            <w:r>
              <w:rPr>
                <w:b/>
                <w:color w:val="1F3B63"/>
                <w:sz w:val="18"/>
              </w:rPr>
              <w:t>Norma principal</w:t>
            </w:r>
          </w:p>
        </w:tc>
        <w:tc>
          <w:tcPr>
            <w:tcW w:type="dxa" w:w="1134"/>
          </w:tcPr>
          <w:p>
            <w:pPr>
              <w:spacing w:after="40"/>
            </w:pPr>
            <w:r/>
            <w:r>
              <w:rPr>
                <w:b/>
                <w:color w:val="1F3B63"/>
                <w:sz w:val="18"/>
              </w:rPr>
              <w:t>Estado</w:t>
            </w:r>
          </w:p>
        </w:tc>
      </w:tr>
      <w:tr>
        <w:tc>
          <w:tcPr>
            <w:tcW w:type="dxa" w:w="567"/>
          </w:tcPr>
          <w:p>
            <w:pPr>
              <w:spacing w:after="40"/>
              <w:jc w:val="both"/>
            </w:pPr>
            <w:r/>
            <w:r>
              <w:rPr>
                <w:sz w:val="18"/>
              </w:rPr>
              <w:t>01</w:t>
            </w:r>
          </w:p>
        </w:tc>
        <w:tc>
          <w:tcPr>
            <w:tcW w:type="dxa" w:w="3515"/>
          </w:tcPr>
          <w:p>
            <w:pPr>
              <w:spacing w:after="40"/>
              <w:jc w:val="both"/>
            </w:pPr>
            <w:r/>
            <w:r>
              <w:rPr>
                <w:sz w:val="18"/>
              </w:rPr>
              <w:t>Estabelecimentos de comércio a retalho de animais de companhia: ausência da DGAV no procedimento</w:t>
            </w:r>
          </w:p>
        </w:tc>
        <w:tc>
          <w:tcPr>
            <w:tcW w:type="dxa" w:w="2438"/>
          </w:tcPr>
          <w:p>
            <w:pPr>
              <w:spacing w:after="40"/>
              <w:jc w:val="both"/>
            </w:pPr>
            <w:r/>
            <w:r>
              <w:rPr>
                <w:sz w:val="18"/>
              </w:rPr>
              <w:t>Art.º 16.º, n.º 4, e Anexo II</w:t>
            </w:r>
          </w:p>
        </w:tc>
        <w:tc>
          <w:tcPr>
            <w:tcW w:type="dxa" w:w="1134"/>
          </w:tcPr>
          <w:p>
            <w:pPr>
              <w:spacing w:after="40"/>
              <w:jc w:val="both"/>
            </w:pPr>
            <w:r/>
            <w:r>
              <w:rPr>
                <w:sz w:val="18"/>
              </w:rPr>
              <w:t>Fechado</w:t>
            </w:r>
          </w:p>
        </w:tc>
      </w:tr>
      <w:tr>
        <w:tc>
          <w:tcPr>
            <w:tcW w:type="dxa" w:w="567"/>
          </w:tcPr>
          <w:p>
            <w:pPr>
              <w:spacing w:after="40"/>
              <w:jc w:val="both"/>
            </w:pPr>
            <w:r/>
            <w:r>
              <w:rPr>
                <w:sz w:val="18"/>
              </w:rPr>
              <w:t>02</w:t>
            </w:r>
          </w:p>
        </w:tc>
        <w:tc>
          <w:tcPr>
            <w:tcW w:type="dxa" w:w="3515"/>
          </w:tcPr>
          <w:p>
            <w:pPr>
              <w:spacing w:after="40"/>
              <w:jc w:val="both"/>
            </w:pPr>
            <w:r/>
            <w:r>
              <w:rPr>
                <w:sz w:val="18"/>
              </w:rPr>
              <w:t>Animais de companhia na definição de atividade pecuária: a exclusão eliminada</w:t>
            </w:r>
          </w:p>
        </w:tc>
        <w:tc>
          <w:tcPr>
            <w:tcW w:type="dxa" w:w="2438"/>
          </w:tcPr>
          <w:p>
            <w:pPr>
              <w:spacing w:after="40"/>
              <w:jc w:val="both"/>
            </w:pPr>
            <w:r/>
            <w:r>
              <w:rPr>
                <w:sz w:val="18"/>
              </w:rPr>
              <w:t>Art.º 48.º, als. b) e c)</w:t>
            </w:r>
          </w:p>
        </w:tc>
        <w:tc>
          <w:tcPr>
            <w:tcW w:type="dxa" w:w="1134"/>
          </w:tcPr>
          <w:p>
            <w:pPr>
              <w:spacing w:after="40"/>
              <w:jc w:val="both"/>
            </w:pPr>
            <w:r/>
            <w:r>
              <w:rPr>
                <w:sz w:val="18"/>
              </w:rPr>
              <w:t>Fechado</w:t>
            </w:r>
          </w:p>
        </w:tc>
      </w:tr>
      <w:tr>
        <w:tc>
          <w:tcPr>
            <w:tcW w:type="dxa" w:w="567"/>
          </w:tcPr>
          <w:p>
            <w:pPr>
              <w:spacing w:after="40"/>
              <w:jc w:val="both"/>
            </w:pPr>
            <w:r/>
            <w:r>
              <w:rPr>
                <w:sz w:val="18"/>
              </w:rPr>
              <w:t>03</w:t>
            </w:r>
          </w:p>
        </w:tc>
        <w:tc>
          <w:tcPr>
            <w:tcW w:type="dxa" w:w="3515"/>
          </w:tcPr>
          <w:p>
            <w:pPr>
              <w:spacing w:after="40"/>
              <w:jc w:val="both"/>
            </w:pPr>
            <w:r/>
            <w:r>
              <w:rPr>
                <w:sz w:val="18"/>
              </w:rPr>
              <w:t>Deferimento tácito em atividades com animais vivos</w:t>
            </w:r>
          </w:p>
        </w:tc>
        <w:tc>
          <w:tcPr>
            <w:tcW w:type="dxa" w:w="2438"/>
          </w:tcPr>
          <w:p>
            <w:pPr>
              <w:spacing w:after="40"/>
              <w:jc w:val="both"/>
            </w:pPr>
            <w:r/>
            <w:r>
              <w:rPr>
                <w:sz w:val="18"/>
              </w:rPr>
              <w:t>Art.º 25.º</w:t>
            </w:r>
          </w:p>
        </w:tc>
        <w:tc>
          <w:tcPr>
            <w:tcW w:type="dxa" w:w="1134"/>
          </w:tcPr>
          <w:p>
            <w:pPr>
              <w:spacing w:after="40"/>
              <w:jc w:val="both"/>
            </w:pPr>
            <w:r/>
            <w:r>
              <w:rPr>
                <w:sz w:val="18"/>
              </w:rPr>
              <w:t>Previsto</w:t>
            </w:r>
          </w:p>
        </w:tc>
      </w:tr>
      <w:tr>
        <w:tc>
          <w:tcPr>
            <w:tcW w:type="dxa" w:w="567"/>
          </w:tcPr>
          <w:p>
            <w:pPr>
              <w:spacing w:after="40"/>
              <w:jc w:val="both"/>
            </w:pPr>
            <w:r/>
            <w:r>
              <w:rPr>
                <w:sz w:val="18"/>
              </w:rPr>
              <w:t>04</w:t>
            </w:r>
          </w:p>
        </w:tc>
        <w:tc>
          <w:tcPr>
            <w:tcW w:type="dxa" w:w="3515"/>
          </w:tcPr>
          <w:p>
            <w:pPr>
              <w:spacing w:after="40"/>
              <w:jc w:val="both"/>
            </w:pPr>
            <w:r/>
            <w:r>
              <w:rPr>
                <w:sz w:val="18"/>
              </w:rPr>
              <w:t>Cláusula de articulação com o regime dos animais de companhia e com o Regulamento</w:t>
            </w:r>
          </w:p>
        </w:tc>
        <w:tc>
          <w:tcPr>
            <w:tcW w:type="dxa" w:w="2438"/>
          </w:tcPr>
          <w:p>
            <w:pPr>
              <w:spacing w:after="40"/>
              <w:jc w:val="both"/>
            </w:pPr>
            <w:r/>
            <w:r>
              <w:rPr>
                <w:sz w:val="18"/>
              </w:rPr>
              <w:t>Art.ºs 2.º e 36.º, n.º 3</w:t>
            </w:r>
          </w:p>
        </w:tc>
        <w:tc>
          <w:tcPr>
            <w:tcW w:type="dxa" w:w="1134"/>
          </w:tcPr>
          <w:p>
            <w:pPr>
              <w:spacing w:after="40"/>
              <w:jc w:val="both"/>
            </w:pPr>
            <w:r/>
            <w:r>
              <w:rPr>
                <w:sz w:val="18"/>
              </w:rPr>
              <w:t>Previsto</w:t>
            </w:r>
          </w:p>
        </w:tc>
      </w:tr>
      <w:tr>
        <w:tc>
          <w:tcPr>
            <w:tcW w:type="dxa" w:w="567"/>
          </w:tcPr>
          <w:p>
            <w:pPr>
              <w:spacing w:after="40"/>
              <w:jc w:val="both"/>
            </w:pPr>
            <w:r/>
            <w:r>
              <w:rPr>
                <w:sz w:val="18"/>
              </w:rPr>
              <w:t>05</w:t>
            </w:r>
          </w:p>
        </w:tc>
        <w:tc>
          <w:tcPr>
            <w:tcW w:type="dxa" w:w="3515"/>
          </w:tcPr>
          <w:p>
            <w:pPr>
              <w:spacing w:after="40"/>
              <w:jc w:val="both"/>
            </w:pPr>
            <w:r/>
            <w:r>
              <w:rPr>
                <w:sz w:val="18"/>
              </w:rPr>
              <w:t>Recolha de animais errantes: delimitação às espécies pecuárias</w:t>
            </w:r>
          </w:p>
        </w:tc>
        <w:tc>
          <w:tcPr>
            <w:tcW w:type="dxa" w:w="2438"/>
          </w:tcPr>
          <w:p>
            <w:pPr>
              <w:spacing w:after="40"/>
              <w:jc w:val="both"/>
            </w:pPr>
            <w:r/>
            <w:r>
              <w:rPr>
                <w:sz w:val="18"/>
              </w:rPr>
              <w:t>Art.ºs 57.º e 59.º</w:t>
            </w:r>
          </w:p>
        </w:tc>
        <w:tc>
          <w:tcPr>
            <w:tcW w:type="dxa" w:w="1134"/>
          </w:tcPr>
          <w:p>
            <w:pPr>
              <w:spacing w:after="40"/>
              <w:jc w:val="both"/>
            </w:pPr>
            <w:r/>
            <w:r>
              <w:rPr>
                <w:sz w:val="18"/>
              </w:rPr>
              <w:t>Previsto</w:t>
            </w:r>
          </w:p>
        </w:tc>
      </w:tr>
      <w:tr>
        <w:tc>
          <w:tcPr>
            <w:tcW w:type="dxa" w:w="567"/>
          </w:tcPr>
          <w:p>
            <w:pPr>
              <w:spacing w:after="40"/>
              <w:jc w:val="both"/>
            </w:pPr>
            <w:r/>
            <w:r>
              <w:rPr>
                <w:sz w:val="18"/>
              </w:rPr>
              <w:t>06</w:t>
            </w:r>
          </w:p>
        </w:tc>
        <w:tc>
          <w:tcPr>
            <w:tcW w:type="dxa" w:w="3515"/>
          </w:tcPr>
          <w:p>
            <w:pPr>
              <w:spacing w:after="40"/>
              <w:jc w:val="both"/>
            </w:pPr>
            <w:r/>
            <w:r>
              <w:rPr>
                <w:sz w:val="18"/>
              </w:rPr>
              <w:t>Venda em comércio não sedentário, feiras e leilões: falta de articulação</w:t>
            </w:r>
          </w:p>
        </w:tc>
        <w:tc>
          <w:tcPr>
            <w:tcW w:type="dxa" w:w="2438"/>
          </w:tcPr>
          <w:p>
            <w:pPr>
              <w:spacing w:after="40"/>
              <w:jc w:val="both"/>
            </w:pPr>
            <w:r/>
            <w:r>
              <w:rPr>
                <w:sz w:val="18"/>
              </w:rPr>
              <w:t>Art.ºs 133.º, n.º 2, e 153.º, n.º 1</w:t>
            </w:r>
          </w:p>
        </w:tc>
        <w:tc>
          <w:tcPr>
            <w:tcW w:type="dxa" w:w="1134"/>
          </w:tcPr>
          <w:p>
            <w:pPr>
              <w:spacing w:after="40"/>
              <w:jc w:val="both"/>
            </w:pPr>
            <w:r/>
            <w:r>
              <w:rPr>
                <w:sz w:val="18"/>
              </w:rPr>
              <w:t>Previsto</w:t>
            </w:r>
          </w:p>
        </w:tc>
      </w:tr>
      <w:tr>
        <w:tc>
          <w:tcPr>
            <w:tcW w:type="dxa" w:w="567"/>
          </w:tcPr>
          <w:p>
            <w:pPr>
              <w:spacing w:after="40"/>
              <w:jc w:val="both"/>
            </w:pPr>
            <w:r/>
            <w:r>
              <w:rPr>
                <w:sz w:val="18"/>
              </w:rPr>
              <w:t>07</w:t>
            </w:r>
          </w:p>
        </w:tc>
        <w:tc>
          <w:tcPr>
            <w:tcW w:type="dxa" w:w="3515"/>
          </w:tcPr>
          <w:p>
            <w:pPr>
              <w:spacing w:after="40"/>
              <w:jc w:val="both"/>
            </w:pPr>
            <w:r/>
            <w:r>
              <w:rPr>
                <w:sz w:val="18"/>
              </w:rPr>
              <w:t>Venda e publicidade em linha</w:t>
            </w:r>
          </w:p>
        </w:tc>
        <w:tc>
          <w:tcPr>
            <w:tcW w:type="dxa" w:w="2438"/>
          </w:tcPr>
          <w:p>
            <w:pPr>
              <w:spacing w:after="40"/>
              <w:jc w:val="both"/>
            </w:pPr>
            <w:r/>
            <w:r>
              <w:rPr>
                <w:sz w:val="18"/>
              </w:rPr>
              <w:t>Art.º 1.º, n.º 4</w:t>
            </w:r>
          </w:p>
        </w:tc>
        <w:tc>
          <w:tcPr>
            <w:tcW w:type="dxa" w:w="1134"/>
          </w:tcPr>
          <w:p>
            <w:pPr>
              <w:spacing w:after="40"/>
              <w:jc w:val="both"/>
            </w:pPr>
            <w:r/>
            <w:r>
              <w:rPr>
                <w:sz w:val="18"/>
              </w:rPr>
              <w:t>Previsto</w:t>
            </w:r>
          </w:p>
        </w:tc>
      </w:tr>
      <w:tr>
        <w:tc>
          <w:tcPr>
            <w:tcW w:type="dxa" w:w="567"/>
          </w:tcPr>
          <w:p>
            <w:pPr>
              <w:spacing w:after="40"/>
              <w:jc w:val="both"/>
            </w:pPr>
            <w:r/>
            <w:r>
              <w:rPr>
                <w:sz w:val="18"/>
              </w:rPr>
              <w:t>08</w:t>
            </w:r>
          </w:p>
        </w:tc>
        <w:tc>
          <w:tcPr>
            <w:tcW w:type="dxa" w:w="3515"/>
          </w:tcPr>
          <w:p>
            <w:pPr>
              <w:spacing w:after="40"/>
              <w:jc w:val="both"/>
            </w:pPr>
            <w:r/>
            <w:r>
              <w:rPr>
                <w:sz w:val="18"/>
              </w:rPr>
              <w:t>Acesso de animais de companhia a estabelecimentos</w:t>
            </w:r>
          </w:p>
        </w:tc>
        <w:tc>
          <w:tcPr>
            <w:tcW w:type="dxa" w:w="2438"/>
          </w:tcPr>
          <w:p>
            <w:pPr>
              <w:spacing w:after="40"/>
              <w:jc w:val="both"/>
            </w:pPr>
            <w:r/>
            <w:r>
              <w:rPr>
                <w:sz w:val="18"/>
              </w:rPr>
              <w:t>Art.º 38.º</w:t>
            </w:r>
          </w:p>
        </w:tc>
        <w:tc>
          <w:tcPr>
            <w:tcW w:type="dxa" w:w="1134"/>
          </w:tcPr>
          <w:p>
            <w:pPr>
              <w:spacing w:after="40"/>
              <w:jc w:val="both"/>
            </w:pPr>
            <w:r/>
            <w:r>
              <w:rPr>
                <w:sz w:val="18"/>
              </w:rPr>
              <w:t>Previsto</w:t>
            </w:r>
          </w:p>
        </w:tc>
      </w:tr>
      <w:tr>
        <w:tc>
          <w:tcPr>
            <w:tcW w:type="dxa" w:w="567"/>
          </w:tcPr>
          <w:p>
            <w:pPr>
              <w:spacing w:after="40"/>
              <w:jc w:val="both"/>
            </w:pPr>
            <w:r/>
            <w:r>
              <w:rPr>
                <w:sz w:val="18"/>
              </w:rPr>
              <w:t>09</w:t>
            </w:r>
          </w:p>
        </w:tc>
        <w:tc>
          <w:tcPr>
            <w:tcW w:type="dxa" w:w="3515"/>
          </w:tcPr>
          <w:p>
            <w:pPr>
              <w:spacing w:after="40"/>
              <w:jc w:val="both"/>
            </w:pPr>
            <w:r/>
            <w:r>
              <w:rPr>
                <w:sz w:val="18"/>
              </w:rPr>
              <w:t>SIAC, base de dados setorial e cadastro</w:t>
            </w:r>
          </w:p>
        </w:tc>
        <w:tc>
          <w:tcPr>
            <w:tcW w:type="dxa" w:w="2438"/>
          </w:tcPr>
          <w:p>
            <w:pPr>
              <w:spacing w:after="40"/>
              <w:jc w:val="both"/>
            </w:pPr>
            <w:r/>
            <w:r>
              <w:rPr>
                <w:sz w:val="18"/>
              </w:rPr>
              <w:t>Art.ºs 198.º a 200.º</w:t>
            </w:r>
          </w:p>
        </w:tc>
        <w:tc>
          <w:tcPr>
            <w:tcW w:type="dxa" w:w="1134"/>
          </w:tcPr>
          <w:p>
            <w:pPr>
              <w:spacing w:after="40"/>
              <w:jc w:val="both"/>
            </w:pPr>
            <w:r/>
            <w:r>
              <w:rPr>
                <w:sz w:val="18"/>
              </w:rPr>
              <w:t>Previsto</w:t>
            </w:r>
          </w:p>
        </w:tc>
      </w:tr>
      <w:tr>
        <w:tc>
          <w:tcPr>
            <w:tcW w:type="dxa" w:w="567"/>
          </w:tcPr>
          <w:p>
            <w:pPr>
              <w:spacing w:after="40"/>
              <w:jc w:val="both"/>
            </w:pPr>
            <w:r/>
            <w:r>
              <w:rPr>
                <w:sz w:val="18"/>
              </w:rPr>
              <w:t>10</w:t>
            </w:r>
          </w:p>
        </w:tc>
        <w:tc>
          <w:tcPr>
            <w:tcW w:type="dxa" w:w="3515"/>
          </w:tcPr>
          <w:p>
            <w:pPr>
              <w:spacing w:after="40"/>
              <w:jc w:val="both"/>
            </w:pPr>
            <w:r/>
            <w:r>
              <w:rPr>
                <w:sz w:val="18"/>
              </w:rPr>
              <w:t>Lapsos formais com efeito material</w:t>
            </w:r>
          </w:p>
        </w:tc>
        <w:tc>
          <w:tcPr>
            <w:tcW w:type="dxa" w:w="2438"/>
          </w:tcPr>
          <w:p>
            <w:pPr>
              <w:spacing w:after="40"/>
              <w:jc w:val="both"/>
            </w:pPr>
            <w:r/>
            <w:r>
              <w:rPr>
                <w:sz w:val="18"/>
              </w:rPr>
              <w:t>Anexo V; numeração da Secção III</w:t>
            </w:r>
          </w:p>
        </w:tc>
        <w:tc>
          <w:tcPr>
            <w:tcW w:type="dxa" w:w="1134"/>
          </w:tcPr>
          <w:p>
            <w:pPr>
              <w:spacing w:after="40"/>
              <w:jc w:val="both"/>
            </w:pPr>
            <w:r/>
            <w:r>
              <w:rPr>
                <w:sz w:val="18"/>
              </w:rPr>
              <w:t>Previsto</w:t>
            </w:r>
          </w:p>
        </w:tc>
      </w:tr>
    </w:tbl>
    <w:p>
      <w:pPr>
        <w:spacing w:after="80"/>
      </w:pPr>
    </w:p>
    <w:p>
      <w:pPr>
        <w:spacing w:after="120"/>
      </w:pPr>
      <w:r>
        <w:rPr>
          <w:b w:val="0"/>
          <w:i w:val="0"/>
          <w:color w:val="555555"/>
          <w:sz w:val="19"/>
        </w:rPr>
        <w:t>Nota sobre a renumeração: a ordem seguida na primeira análise global, registada no contributo interno de 5 de outubro de 2026, era diferente. O tema que ali figurava como ponto 6, sobre a fronteira entre detenção caseira e animal de companhia, passou a ser o ponto 02 desta série e absorveu aquele. Os restantes desceram uma posição.</w:t>
      </w:r>
    </w:p>
    <w:p>
      <w:pPr>
        <w:spacing w:before="360" w:after="120"/>
      </w:pPr>
      <w:r>
        <w:rPr>
          <w:b/>
          <w:color w:val="1F3B63"/>
          <w:sz w:val="26"/>
        </w:rPr>
        <w:t>Ponto 01 — Estabelecimentos de comércio a retalho de animais de companhia</w:t>
      </w:r>
    </w:p>
    <w:p>
      <w:pPr>
        <w:spacing w:before="240" w:after="80"/>
      </w:pPr>
      <w:r>
        <w:rPr>
          <w:b/>
          <w:color w:val="1F3B63"/>
          <w:sz w:val="22"/>
        </w:rPr>
        <w:t>1.1. A norma no projeto</w:t>
      </w:r>
    </w:p>
    <w:p>
      <w:pPr>
        <w:spacing w:after="120"/>
      </w:pPr>
      <w:r>
        <w:rPr>
          <w:b w:val="0"/>
          <w:i w:val="0"/>
          <w:sz w:val="21"/>
        </w:rPr>
        <w:t>A atividade está prevista no n.º 4 do artigo 16.º do anexo, entre as sujeitas a comunicação prévia, com a designação «A exploração de estabelecimentos de comércio a retalho de animais de companhia e respetivos alimentos, em estabelecimentos especializados». Corresponde ao CAE 47762, «Comércio a retalho de animais de companhia e respetivos alimentos», constante da lista II do anexo I.</w:t>
      </w:r>
    </w:p>
    <w:p>
      <w:pPr>
        <w:spacing w:after="120"/>
      </w:pPr>
      <w:r>
        <w:rPr>
          <w:b w:val="0"/>
          <w:i w:val="0"/>
          <w:sz w:val="21"/>
        </w:rPr>
        <w:t>Advertência quanto à referência: as alíneas do n.º 4 do artigo 16.º estão com a numeração automática danificada no ficheiro, aparecendo quase todas como «a)». O Anexo II remete para este caso como «alínea f)», mas essa letra não é verificável no articulado tal como está. Por isso, nas observações enviadas, a norma é identificada apenas pelo número, sem a alínea.</w:t>
      </w:r>
    </w:p>
    <w:p>
      <w:pPr>
        <w:spacing w:before="240" w:after="80"/>
      </w:pPr>
      <w:r>
        <w:rPr>
          <w:b/>
          <w:color w:val="1F3B63"/>
          <w:sz w:val="22"/>
        </w:rPr>
        <w:t>1.2. O que o Anexo II estabelece</w:t>
      </w:r>
    </w:p>
    <w:p>
      <w:pPr>
        <w:spacing w:after="120"/>
      </w:pPr>
      <w:r>
        <w:rPr>
          <w:b w:val="0"/>
          <w:i w:val="0"/>
          <w:sz w:val="21"/>
        </w:rPr>
        <w:t>A linha correspondente do Anexo II, que identifica as entidades intervenientes em cada procedimento, tem o seguinte conteúdo: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75"/>
          </w:tcPr>
          <w:p>
            <w:pPr>
              <w:spacing w:after="40"/>
            </w:pPr>
            <w:r/>
            <w:r>
              <w:rPr>
                <w:b/>
                <w:color w:val="1F3B63"/>
                <w:sz w:val="18"/>
              </w:rPr>
              <w:t>Atividade económica</w:t>
            </w:r>
          </w:p>
        </w:tc>
        <w:tc>
          <w:tcPr>
            <w:tcW w:type="dxa" w:w="1871"/>
          </w:tcPr>
          <w:p>
            <w:pPr>
              <w:spacing w:after="40"/>
            </w:pPr>
            <w:r/>
            <w:r>
              <w:rPr>
                <w:b/>
                <w:color w:val="1F3B63"/>
                <w:sz w:val="18"/>
              </w:rPr>
              <w:t>Entidade coordenadora</w:t>
            </w:r>
          </w:p>
        </w:tc>
        <w:tc>
          <w:tcPr>
            <w:tcW w:type="dxa" w:w="1871"/>
          </w:tcPr>
          <w:p>
            <w:pPr>
              <w:spacing w:after="40"/>
            </w:pPr>
            <w:r/>
            <w:r>
              <w:rPr>
                <w:b/>
                <w:color w:val="1F3B63"/>
                <w:sz w:val="18"/>
              </w:rPr>
              <w:t>Entidades públicas consultadas</w:t>
            </w:r>
          </w:p>
        </w:tc>
        <w:tc>
          <w:tcPr>
            <w:tcW w:type="dxa" w:w="1361"/>
          </w:tcPr>
          <w:p>
            <w:pPr>
              <w:spacing w:after="40"/>
            </w:pPr>
            <w:r/>
            <w:r>
              <w:rPr>
                <w:b/>
                <w:color w:val="1F3B63"/>
                <w:sz w:val="18"/>
              </w:rPr>
              <w:t>Entidades notificadas</w:t>
            </w:r>
          </w:p>
        </w:tc>
      </w:tr>
      <w:tr>
        <w:tc>
          <w:tcPr>
            <w:tcW w:type="dxa" w:w="3175"/>
          </w:tcPr>
          <w:p>
            <w:pPr>
              <w:spacing w:after="40"/>
              <w:jc w:val="both"/>
            </w:pPr>
            <w:r/>
            <w:r>
              <w:rPr>
                <w:sz w:val="18"/>
              </w:rPr>
              <w:t>Exploração de estabelecimentos de comércio a retalho de animais de companhia e respetivos alimentos, em estabelecimentos especializados (cf. alínea f)</w:t>
            </w:r>
          </w:p>
        </w:tc>
        <w:tc>
          <w:tcPr>
            <w:tcW w:type="dxa" w:w="1871"/>
          </w:tcPr>
          <w:p>
            <w:pPr>
              <w:spacing w:after="40"/>
              <w:jc w:val="both"/>
            </w:pPr>
            <w:r/>
            <w:r>
              <w:rPr>
                <w:sz w:val="18"/>
              </w:rPr>
              <w:t>A câmara municipal territorialmente competente</w:t>
            </w:r>
          </w:p>
        </w:tc>
        <w:tc>
          <w:tcPr>
            <w:tcW w:type="dxa" w:w="1871"/>
          </w:tcPr>
          <w:p>
            <w:pPr>
              <w:spacing w:after="40"/>
              <w:jc w:val="both"/>
            </w:pPr>
            <w:r/>
            <w:r>
              <w:rPr>
                <w:sz w:val="18"/>
              </w:rPr>
              <w:t>(em branco)</w:t>
            </w:r>
          </w:p>
        </w:tc>
        <w:tc>
          <w:tcPr>
            <w:tcW w:type="dxa" w:w="1361"/>
          </w:tcPr>
          <w:p>
            <w:pPr>
              <w:spacing w:after="40"/>
              <w:jc w:val="both"/>
            </w:pPr>
            <w:r/>
            <w:r>
              <w:rPr>
                <w:sz w:val="18"/>
              </w:rPr>
              <w:t>A DGDCCS</w:t>
            </w:r>
          </w:p>
        </w:tc>
      </w:tr>
    </w:tbl>
    <w:p>
      <w:pPr>
        <w:spacing w:after="80"/>
      </w:pPr>
    </w:p>
    <w:p>
      <w:pPr>
        <w:spacing w:after="120"/>
      </w:pPr>
      <w:r>
        <w:rPr>
          <w:b w:val="0"/>
          <w:i w:val="0"/>
          <w:sz w:val="21"/>
        </w:rPr>
        <w:t>A comparação com as linhas vizinhas é o que torna o ponto demonstrável. Para a exploração de estabelecimentos de comércio por grosso e a retalho e de armazéns de alimentos para animais de criação, constante da al. f) do n.º 2 do mesmo artigo 16.º, o Anexo II indica a câmara municipal como coordenadora e «A DGAV» como entidade pública consultada. Para a atividade pecuária de classe 1 e de classe 2, a DGAV figura igualmente entre as consultadas. A DGAV é, portanto, chamada a pronunciar-se sobre a ração e sobre o efetivo pecuário, e não sobre o estabelecimento que detém animais de companhia vivos para venda.</w:t>
      </w:r>
    </w:p>
    <w:p>
      <w:pPr>
        <w:spacing w:before="240" w:after="80"/>
      </w:pPr>
      <w:r>
        <w:rPr>
          <w:b/>
          <w:color w:val="1F3B63"/>
          <w:sz w:val="22"/>
        </w:rPr>
        <w:t>1.3. Por que razão a atividade passa a estar aqui</w:t>
      </w:r>
    </w:p>
    <w:p>
      <w:pPr>
        <w:spacing w:after="120"/>
      </w:pPr>
      <w:r>
        <w:rPr>
          <w:b w:val="0"/>
          <w:i w:val="0"/>
          <w:sz w:val="21"/>
        </w:rPr>
        <w:t>O n.º 1 do artigo 3.º do Decreto-Lei n.º 276/2001, de 17 de outubro, abre com uma ressalva:</w:t>
      </w:r>
    </w:p>
    <w:p>
      <w:pPr>
        <w:spacing w:after="40"/>
        <w:ind w:left="454" w:right="227"/>
      </w:pPr>
      <w:r>
        <w:rPr>
          <w:i/>
          <w:sz w:val="19"/>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 [...]»</w:t>
      </w:r>
    </w:p>
    <w:p>
      <w:pPr>
        <w:spacing w:after="160"/>
        <w:ind w:left="454"/>
      </w:pPr>
      <w:r>
        <w:rPr>
          <w:color w:val="555555"/>
          <w:sz w:val="17"/>
        </w:rPr>
        <w:t>n.º 1 do art.º 3.º do Decreto-Lei n.º 276/2001, de 17 de outubro, na redação consolidada.</w:t>
      </w:r>
    </w:p>
    <w:p>
      <w:pPr>
        <w:spacing w:after="120"/>
      </w:pPr>
      <w:r>
        <w:rPr>
          <w:b w:val="0"/>
          <w:i w:val="0"/>
          <w:sz w:val="21"/>
        </w:rPr>
        <w:t>A al. j) do n.º 1 do artigo 8.º do decreto-lei preambular revoga o Decreto-Lei n.º 10/2015, de 16 de janeiro. O n.º 4 do mesmo artigo 8.º determina que «As remissões, legais e regulamentares, para normas ora revogadas consideram-se feitas, com as devidas adaptações, para o presente decreto-lei, salvo se a interpretação daquelas impuser solução diferente». A ressalva do Decreto-Lei n.º 276/2001 passa, assim, a apontar para o novo diploma.</w:t>
      </w:r>
    </w:p>
    <w:p>
      <w:pPr>
        <w:spacing w:after="120"/>
      </w:pPr>
      <w:r>
        <w:rPr>
          <w:b w:val="0"/>
          <w:i w:val="0"/>
          <w:sz w:val="21"/>
        </w:rPr>
        <w:t>Importa delimitar o efeito: o que transita é o título de acesso à atividade, não as normas materiais. Os requisitos de detenção dos animais à venda continuam no Decreto-Lei n.º 276/2001, que não é revogado — designadamente o seu Capítulo III, «Normas para os alojamentos de reprodução, criação, manutenção e venda de animais de companhia», com o art.º 26.º para pequenos roedores e coelhos, o art.º 27.º e o Anexo III para cães e gatos, o art.º 32.º quanto às instalações para venda, os art.ºs 36.º e 37.º quanto a animais doentes, fêmeas prenhes e ninhadas, e o art.º 38.º quanto a pessoal auxiliar e assistência médico-veterinária. O problema não é de normas materiais: é de quem fica a saber que o estabelecimento abriu.</w:t>
      </w:r>
    </w:p>
    <w:p>
      <w:pPr>
        <w:spacing w:before="240" w:after="80"/>
      </w:pPr>
      <w:r>
        <w:rPr>
          <w:b/>
          <w:color w:val="1F3B63"/>
          <w:sz w:val="22"/>
        </w:rPr>
        <w:t>1.4. A consequência procedimental</w:t>
      </w:r>
    </w:p>
    <w:p>
      <w:pPr>
        <w:spacing w:after="120"/>
      </w:pPr>
      <w:r>
        <w:rPr>
          <w:b w:val="0"/>
          <w:i w:val="0"/>
          <w:sz w:val="21"/>
        </w:rPr>
        <w:t>O procedimento de comunicação prévia não tem fase de consulta. O n.º 3 do artigo 21.º do anexo descreve-o em três fases, a apresentação da comunicação prévia na Plataforma dos Licenciamentos, a decisão e a emissão do título. E o n.º 3 do artigo 29.º dispõe que, nesse procedimento, «o título digital de atividade económica é automaticamente emitido com o pagamento da taxa devida ou, não sendo devida taxa, com a apresentação da comunicação prévia».</w:t>
      </w:r>
    </w:p>
    <w:p>
      <w:pPr>
        <w:spacing w:after="120"/>
      </w:pPr>
      <w:r>
        <w:rPr>
          <w:b w:val="0"/>
          <w:i w:val="0"/>
          <w:sz w:val="21"/>
        </w:rPr>
        <w:t>Daqui decorre a conclusão técnica que sustenta a proposta: a inclusão da DGAV entre as entidades consultadas é incompatível com a manutenção da atividade no n.º 4 do artigo 16.º, porque não existe aí fase em que uma entidade consultada possa pronunciar-se. Para haver pronúncia prévia, a atividade tem de passar ao n.º 3, que é o procedimento de comunicação com prazo. O custo dessa passagem é o prazo de pronúncia, que no Anexo III corresponde à linha residual «Outras consultas — 20 dias», com deferimento tácito favorável ao requerente nos termos do n.º 3 do artigo 25.º.</w:t>
      </w:r>
    </w:p>
    <w:p>
      <w:pPr>
        <w:spacing w:after="120"/>
      </w:pPr>
      <w:r>
        <w:rPr>
          <w:b w:val="0"/>
          <w:i w:val="0"/>
          <w:sz w:val="21"/>
        </w:rPr>
        <w:t>Existe, dentro do próprio diploma, uma formulação aproveitável para dar peso à pronúncia:</w:t>
      </w:r>
    </w:p>
    <w:p>
      <w:pPr>
        <w:spacing w:after="40"/>
        <w:ind w:left="454" w:right="227"/>
      </w:pPr>
      <w:r>
        <w:rPr>
          <w:i/>
          <w:sz w:val="19"/>
        </w:rPr>
        <w:t>«2 - Sem prejuízo da competência da entidade coordenadora, são vinculativas as pronúncias da DGAV em matéria de saúde e bem-estar animal, biossegurança, aprovação sanitária de estabelecimentos e validação do plano de produção»</w:t>
      </w:r>
    </w:p>
    <w:p>
      <w:pPr>
        <w:spacing w:after="160"/>
        <w:ind w:left="454"/>
      </w:pPr>
      <w:r>
        <w:rPr>
          <w:color w:val="555555"/>
          <w:sz w:val="17"/>
        </w:rPr>
        <w:t>n.º 2 do art.º 54.º do anexo (condições gerais para o exercício da atividade pecuária), na versão de 25.9.2026.</w:t>
      </w:r>
    </w:p>
    <w:p>
      <w:pPr>
        <w:spacing w:before="240" w:after="80"/>
      </w:pPr>
      <w:r>
        <w:rPr>
          <w:b/>
          <w:color w:val="1F3B63"/>
          <w:sz w:val="22"/>
        </w:rPr>
        <w:t>1.5. O que o Regulamento (UE) 2026/1818 passa a impor</w:t>
      </w:r>
    </w:p>
    <w:p>
      <w:pPr>
        <w:spacing w:after="120"/>
      </w:pPr>
      <w:r>
        <w:rPr>
          <w:b w:val="0"/>
          <w:i w:val="0"/>
          <w:sz w:val="21"/>
        </w:rPr>
        <w:t>A loja de animais é, para o Regulamento, um estabelecimento de venda:</w:t>
      </w:r>
    </w:p>
    <w:p>
      <w:pPr>
        <w:spacing w:after="40"/>
        <w:ind w:left="454" w:right="227"/>
      </w:pPr>
      <w:r>
        <w:rPr>
          <w:i/>
          <w:sz w:val="19"/>
        </w:rPr>
        <w:t>«(q) ‘selling establishment’ means any premises or structure where dogs or cats are kept for sale without being born there, including pet shops or private homes, as well as any premises or structures for assembly operations in which dogs or cats from more than one establishment are assembled;»</w:t>
      </w:r>
    </w:p>
    <w:p>
      <w:pPr>
        <w:spacing w:after="160"/>
        <w:ind w:left="454"/>
      </w:pPr>
      <w:r>
        <w:rPr>
          <w:color w:val="555555"/>
          <w:sz w:val="17"/>
        </w:rPr>
        <w:t>al. q) do art.º 4.º do Regulamento (UE) 2026/1818 — versão inglesa, JO L, 2026/1818, de 10.8.2026.</w:t>
      </w:r>
    </w:p>
    <w:p>
      <w:pPr>
        <w:spacing w:after="40"/>
        <w:ind w:left="454" w:right="227"/>
      </w:pPr>
      <w:r>
        <w:rPr>
          <w:i/>
          <w:sz w:val="19"/>
        </w:rPr>
        <w:t>«q) «Estabelecimento de venda», qualquer instalação ou estrutura onde cães ou gatos são detidos para venda sem aí terem nascido, incluindo lojas de animais de companhia ou casas particulares, bem como quaisquer instalações ou estruturas destinadas a operações de agrupamento nas quais sejam agrupados cães ou gatos a partir de mais do que um estabelecimento;»</w:t>
      </w:r>
    </w:p>
    <w:p>
      <w:pPr>
        <w:spacing w:after="160"/>
        <w:ind w:left="454"/>
      </w:pPr>
      <w:r>
        <w:rPr>
          <w:color w:val="555555"/>
          <w:sz w:val="17"/>
        </w:rPr>
        <w:t>al. q) do art.º 4.º do Regulamento (UE) 2026/1818 — versão portuguesa, JO L, 2026/1818, de 10.8.2026.</w:t>
      </w:r>
    </w:p>
    <w:p>
      <w:pPr>
        <w:spacing w:after="120"/>
      </w:pPr>
      <w:r>
        <w:rPr>
          <w:b w:val="0"/>
          <w:i w:val="0"/>
          <w:sz w:val="21"/>
        </w:rPr>
        <w:t>E sobre esse estabelecimento recai uma obrigação de notificação, com um registo a cargo da autoridade competente:</w:t>
      </w:r>
    </w:p>
    <w:p>
      <w:pPr>
        <w:spacing w:after="40"/>
        <w:ind w:left="454" w:right="227"/>
      </w:pPr>
      <w:r>
        <w:rPr>
          <w:i/>
          <w:sz w:val="19"/>
        </w:rPr>
        <w:t>«1. Operators shall notify the competent authorities of their activity, providing at least the following information for each of their establishments: (a) the name, address and contact details of the operator; (b) the location of the establishment; (c) the type of establishment: breeding establishment, selling establishment, shelter or foster home; (d) the species and, for breeding establishments, the breeds of the dogs or cats kept in the establishment; (e) the capacity of the establishment, expressed as the maximum number of dogs and cats which can be kept in the establishment; (f) for breeding establishments, the estimated number of litters to be placed on the market per year. [...] 4. The competent authority shall keep a register of establishments. The competent authority may, for that purpose, use the register established pursuant to Article 101(1), point (a), of Regulation (EU) 2016/429.»</w:t>
      </w:r>
    </w:p>
    <w:p>
      <w:pPr>
        <w:spacing w:after="160"/>
        <w:ind w:left="454"/>
      </w:pPr>
      <w:r>
        <w:rPr>
          <w:color w:val="555555"/>
          <w:sz w:val="17"/>
        </w:rPr>
        <w:t>art.º 9.º, n.ºs 1 e 4, do Regulamento (UE) 2026/1818 — versão inglesa.</w:t>
      </w:r>
    </w:p>
    <w:p>
      <w:pPr>
        <w:spacing w:after="40"/>
        <w:ind w:left="454" w:right="227"/>
      </w:pPr>
      <w:r>
        <w:rPr>
          <w:i/>
          <w:sz w:val="19"/>
        </w:rPr>
        <w:t>«1. Os operadores notificam as autoridades competentes da sua atividade, facultando pelo menos as seguintes informações para cada um dos seus estabelecimentos: a) O nome, o endereço e dados de contacto do operador; b) A localização do estabelecimento; c) O tipo de estabelecimento: estabelecimento de criação, estabelecimento de venda, abrigo ou lar de acolhimento; d) A espécie e, para os estabelecimentos de criação, as raças dos cães ou gatos detidos no estabelecimento; e) A capacidade do estabelecimento, expressa em termos de número máximo de cães e gatos que podem ser detidos no estabelecimento; f) No caso dos estabelecimentos de criação, o número estimado de ninhadas a colocar no mercado por ano. [...] 4. A autoridade competente deve manter um registo de estabelecimentos. A autoridade competente pode utilizar, para esse efeito, o registo criado nos termos do artigo 101.º, n.º 1, alínea a), do Regulamento (UE) 2016/429.»</w:t>
      </w:r>
    </w:p>
    <w:p>
      <w:pPr>
        <w:spacing w:after="160"/>
        <w:ind w:left="454"/>
      </w:pPr>
      <w:r>
        <w:rPr>
          <w:color w:val="555555"/>
          <w:sz w:val="17"/>
        </w:rPr>
        <w:t>art.º 9.º, n.ºs 1 e 4, do Regulamento (UE) 2026/1818 — versão portuguesa.</w:t>
      </w:r>
    </w:p>
    <w:p>
      <w:pPr>
        <w:spacing w:after="120"/>
      </w:pPr>
      <w:r>
        <w:rPr>
          <w:b w:val="0"/>
          <w:i w:val="0"/>
          <w:sz w:val="21"/>
        </w:rPr>
        <w:t>Dois elementos completam o quadro. Primeiro, não há limiares: o considerando 23 esclarece que, «atenta a natureza exclusivamente comercial dos estabelecimentos de venda, não é necessário fixar limiares», pelo que os requisitos se aplicam a todos, independentemente do número de cães ou gatos detidos. Segundo, o artigo 9.º é aplicável a partir de 31 de agosto de 2028, data da regra geral do artigo 33.º, ou seja, menos de dois anos depois da entrada em vigor prevista para o diploma nacional, fixada em 4 de janeiro de 2027 pelo n.º 1 do artigo 19.º do decreto-lei preambular.</w:t>
      </w:r>
    </w:p>
    <w:p>
      <w:pPr>
        <w:spacing w:after="120"/>
      </w:pPr>
      <w:r>
        <w:rPr>
          <w:b w:val="0"/>
          <w:i w:val="0"/>
          <w:sz w:val="21"/>
        </w:rPr>
        <w:t>Nota de delimitação: o Regulamento não exige aprovação prévia dos estabelecimentos de venda. A aprovação, com inspeção no local, está no artigo 10.º e dirige-se aos estabelecimentos de criação acima de cinco ninhadas por ano civil ou cinco fêmeas reprodutoras, sendo aplicável apenas a partir de 31 de agosto de 2034. Exigir vistoria prévia às lojas seria uma regra nacional mais restritiva, admissível nos termos do n.º 1 do artigo 30.º mas sujeita à comunicação à Comissão prevista no n.º 2 do mesmo artigo. Foi por isso que a proposta enviada se ficou pela pronúncia e pela notificação.</w:t>
      </w:r>
    </w:p>
    <w:p>
      <w:pPr>
        <w:spacing w:before="240" w:after="80"/>
      </w:pPr>
      <w:r>
        <w:rPr>
          <w:b/>
          <w:color w:val="1F3B63"/>
          <w:sz w:val="22"/>
        </w:rPr>
        <w:t>1.6. Fontes do ponto 01</w:t>
      </w:r>
    </w:p>
    <w:p>
      <w:pPr>
        <w:pStyle w:val="ListBullet"/>
        <w:spacing w:after="60"/>
        <w:jc w:val="both"/>
      </w:pPr>
      <w:r>
        <w:rPr>
          <w:sz w:val="21"/>
        </w:rPr>
        <w:t>Projeto: «DL 405 XXV 2026_PECUÁRIA_GSEA 25_09_v1.docx», anexo à mensagem de 25.9.2026 — art.ºs 16.º, 21.º, 25.º, 29.º e 54.º do anexo; Anexos I, II e III; art.ºs 8.º e 19.º do decreto-lei preambular.</w:t>
      </w:r>
    </w:p>
    <w:p>
      <w:pPr>
        <w:pStyle w:val="ListBullet"/>
        <w:spacing w:after="60"/>
        <w:jc w:val="both"/>
      </w:pPr>
      <w:r>
        <w:rPr>
          <w:sz w:val="21"/>
        </w:rPr>
        <w:t>Decreto-Lei n.º 276/2001, de 17 de outubro, versão consolidada — art.ºs 1.º, 2.º, 3.º, 3.º-A, 24.º a 27.º, 32.º, 36.º a 38.º e Anexos II e III.</w:t>
      </w:r>
    </w:p>
    <w:p>
      <w:pPr>
        <w:pStyle w:val="ListBullet"/>
        <w:spacing w:after="60"/>
        <w:jc w:val="both"/>
      </w:pPr>
      <w:r>
        <w:rPr>
          <w:sz w:val="21"/>
        </w:rPr>
        <w:t>Decreto-Lei n.º 10/2015, de 16 de janeiro — diploma revogado pela al. j) do n.º 1 do art.º 8.º do decreto-lei preambular.</w:t>
      </w:r>
    </w:p>
    <w:p>
      <w:pPr>
        <w:pStyle w:val="ListBullet"/>
        <w:spacing w:after="60"/>
        <w:jc w:val="both"/>
      </w:pPr>
      <w:r>
        <w:rPr>
          <w:sz w:val="21"/>
        </w:rPr>
        <w:t>Regulamento (UE) 2026/1818 do Parlamento Europeu e do Conselho, de 17 de junho de 2026, JO L, 2026/1818, de 10.8.2026, ELI http://data.europa.eu/eli/reg/2026/1818/oj — considerando 23, art.ºs 4.º, 9.º, 10.º, 30.º e 33.º, nas versões inglesa e portuguesa, ambas autênticas.</w:t>
      </w:r>
    </w:p>
    <w:p>
      <w:pPr>
        <w:spacing w:before="360" w:after="120"/>
      </w:pPr>
      <w:r>
        <w:rPr>
          <w:b/>
          <w:color w:val="1F3B63"/>
          <w:sz w:val="26"/>
        </w:rPr>
        <w:t>Ponto 02 — Animais de companhia na definição de atividade pecuária</w:t>
      </w:r>
    </w:p>
    <w:p>
      <w:pPr>
        <w:spacing w:before="240" w:after="80"/>
      </w:pPr>
      <w:r>
        <w:rPr>
          <w:b/>
          <w:color w:val="1F3B63"/>
          <w:sz w:val="22"/>
        </w:rPr>
        <w:t>2.1. A alteração registada no ficheiro</w:t>
      </w:r>
    </w:p>
    <w:p>
      <w:pPr>
        <w:spacing w:after="120"/>
      </w:pPr>
      <w:r>
        <w:rPr>
          <w:b w:val="0"/>
          <w:i w:val="0"/>
          <w:sz w:val="21"/>
        </w:rPr>
        <w:t>A alínea c) do artigo 48.º do anexo define «atividade pecuária». No ficheiro de 25.9.2026 o seu início apresenta-se assim, com a alteração registada visível:</w:t>
      </w:r>
    </w:p>
    <w:p>
      <w:pPr>
        <w:spacing w:after="40"/>
        <w:ind w:left="454" w:right="227"/>
      </w:pPr>
      <w:r>
        <w:rPr>
          <w:i/>
          <w:sz w:val="19"/>
        </w:rPr>
        <w:t>«Atividade pecuária», todas as atividades de reprodução, produção, detenção, comercialização, exposição e outras relativas a animais das espécies pecuárias, com exceção da apicultura e [eliminado: «animais de companhia»] em: [...]</w:t>
      </w:r>
    </w:p>
    <w:p>
      <w:pPr>
        <w:spacing w:after="160"/>
        <w:ind w:left="454"/>
      </w:pPr>
      <w:r>
        <w:rPr>
          <w:color w:val="555555"/>
          <w:sz w:val="17"/>
        </w:rPr>
        <w:t>al. c) do art.º 48.º do anexo. Eliminação registada em nome de Nádia Silvestre, com data de 21.9.2026.</w:t>
      </w:r>
    </w:p>
    <w:p>
      <w:pPr>
        <w:spacing w:after="120"/>
      </w:pPr>
      <w:r>
        <w:rPr>
          <w:b w:val="0"/>
          <w:i w:val="0"/>
          <w:sz w:val="21"/>
        </w:rPr>
        <w:t>O texto que hoje se lê no ficheiro, com as alterações aceites, é «com exceção da apicultura eem:». A sequência «eem» resulta da justaposição do «e» da conjunção, que antecedia a expressão eliminada, ao «em» que a seguia. É indício de que a frase não foi relida depois da eliminação.</w:t>
      </w:r>
    </w:p>
    <w:p>
      <w:pPr>
        <w:spacing w:after="120"/>
      </w:pPr>
      <w:r>
        <w:rPr>
          <w:b w:val="0"/>
          <w:i w:val="0"/>
          <w:sz w:val="21"/>
        </w:rPr>
        <w:t>A eliminação integra-se numa revisão de grande amplitude da Secção III. Nessa mesma data e em nome da mesma pessoa foram registadas 224 inserções e 140 eliminações, que reescreveram a secção da atividade pecuária, criaram subsecções e introduziram artigos que antes não existiam, entre os quais os artigos «Detenção caseira», «Regulamentação» e «Registo de estabelecimentos não sujeitos».</w:t>
      </w:r>
    </w:p>
    <w:p>
      <w:pPr>
        <w:spacing w:before="240" w:after="80"/>
      </w:pPr>
      <w:r>
        <w:rPr>
          <w:b/>
          <w:color w:val="1F3B63"/>
          <w:sz w:val="22"/>
        </w:rPr>
        <w:t>2.2. A exclusão existe no regime em vigor</w:t>
      </w:r>
    </w:p>
    <w:p>
      <w:pPr>
        <w:spacing w:after="120"/>
      </w:pPr>
      <w:r>
        <w:rPr>
          <w:b w:val="0"/>
          <w:i w:val="0"/>
          <w:sz w:val="21"/>
        </w:rPr>
        <w:t>O que foi eliminado reproduzia uma delimitação do Novo Regime do Exercício da Atividade Pecuária. A al. a) do n.º 3 do artigo 1.º do Decreto-Lei n.º 81/2013, de 14 de junho, exclui do âmbito do regime, por código de atividade económica, a apicultura, CAE 01491, e os animais de companhia, CAE 01493. O projeto comprimiu essa exclusão de âmbito para dentro de uma definição e, nessa passagem, perdeu metade dela.</w:t>
      </w:r>
    </w:p>
    <w:p>
      <w:pPr>
        <w:spacing w:after="120"/>
      </w:pPr>
      <w:r>
        <w:rPr>
          <w:b w:val="0"/>
          <w:i w:val="0"/>
          <w:sz w:val="21"/>
        </w:rPr>
        <w:t>Verificação complementar: pesquisaram-se no projeto os códigos 01491 e 01493 e nenhum consta. O diploma não tem lista de códigos de atividade económica para a pecuária, cuja delimitação é feita por limiares de cabeças normais no artigo 16.º, pelo que a exclusão não reaparece por outra via.</w:t>
      </w:r>
    </w:p>
    <w:p>
      <w:pPr>
        <w:spacing w:before="240" w:after="80"/>
      </w:pPr>
      <w:r>
        <w:rPr>
          <w:b/>
          <w:color w:val="1F3B63"/>
          <w:sz w:val="22"/>
        </w:rPr>
        <w:t>2.3. A cláusula que permanece, e de onde vem</w:t>
      </w:r>
    </w:p>
    <w:p>
      <w:pPr>
        <w:spacing w:after="120"/>
      </w:pPr>
      <w:r>
        <w:rPr>
          <w:b w:val="0"/>
          <w:i w:val="0"/>
          <w:sz w:val="21"/>
        </w:rPr>
        <w:t>A alínea b) do mesmo artigo 48.º define «animal de espécie pecuária» e mantém a referência que suscita a dúvida. Confrontada com a definição do regime em vigor, a redação é igual palavra por palavra, com uma única diferença, o acrescento dos insetos:</w:t>
      </w:r>
    </w:p>
    <w:p>
      <w:pPr>
        <w:spacing w:after="40"/>
        <w:ind w:left="454" w:right="227"/>
      </w:pPr>
      <w:r>
        <w:rPr>
          <w:i/>
          <w:sz w:val="19"/>
        </w:rPr>
        <w:t>«c) «Animal de espécie pecuária» qualquer espécimen vivo bovino, suíno, ovino, caprino, equídeo, ave, leporídeo (coelhos e lebres) ou outra espécie que seja explorada com destino à sua reprodução ou produção de carne, leite, ovos, lã, seda, pelo, pele ou repovoamento cinegético, bem como a produção pecuária de animais destinados a animais de companhia, de trabalho ou a atividades culturais ou desportivas;»</w:t>
      </w:r>
    </w:p>
    <w:p>
      <w:pPr>
        <w:spacing w:after="160"/>
        <w:ind w:left="454"/>
      </w:pPr>
      <w:r>
        <w:rPr>
          <w:color w:val="555555"/>
          <w:sz w:val="17"/>
        </w:rPr>
        <w:t>al. c) do art.º 2.º do Decreto-Lei n.º 81/2013, de 14 de junho. A redação da al. b) do art.º 48.º do projeto é idêntica, com o acrescento de «insetos» após «leporídeo (coelhos e lebres)».</w:t>
      </w:r>
    </w:p>
    <w:p>
      <w:pPr>
        <w:spacing w:after="120"/>
      </w:pPr>
      <w:r>
        <w:rPr>
          <w:b w:val="0"/>
          <w:i w:val="0"/>
          <w:sz w:val="21"/>
        </w:rPr>
        <w:t>Quanto ao sentido da expressão, a leitura é finalística e não de espécie. O paralelo das três hipóteses, animais destinados a animais de companhia, de trabalho ou a atividades culturais ou desportivas, indica que o critério é o destino do animal e não aquilo que ele alimenta. A cláusula serve para que a produção de espécies pecuárias com destino diferente do alimentar, designadamente leporídeos e aves para o mercado dos animais de companhia, ou equídeos para trabalho ou desporto, não escape ao regime. A redação admite, porém, a leitura alternativa de animais destinados a alimentar animais de companhia, e essa ambiguidade subsiste desde 2013.</w:t>
      </w:r>
    </w:p>
    <w:p>
      <w:pPr>
        <w:spacing w:after="120"/>
      </w:pPr>
      <w:r>
        <w:rPr>
          <w:b w:val="0"/>
          <w:i w:val="0"/>
          <w:sz w:val="21"/>
        </w:rPr>
        <w:t>A origem foi confirmada até à versão original do Decreto-Lei n.º 81/2013, publicada em 14 de junho de 2013. Não foi possível confirmar, nas fontes consultadas, se a formulação já constava do Decreto-Lei n.º 214/2008, que aquele revogou. Fica como verificação pendente.</w:t>
      </w:r>
    </w:p>
    <w:p>
      <w:pPr>
        <w:spacing w:before="240" w:after="80"/>
      </w:pPr>
      <w:r>
        <w:rPr>
          <w:b/>
          <w:color w:val="1F3B63"/>
          <w:sz w:val="22"/>
        </w:rPr>
        <w:t>2.4. Os comentários do ficheiro no mesmo lugar</w:t>
      </w:r>
    </w:p>
    <w:p>
      <w:pPr>
        <w:spacing w:after="120"/>
      </w:pPr>
      <w:r>
        <w:rPr>
          <w:b w:val="0"/>
          <w:i w:val="0"/>
          <w:sz w:val="21"/>
        </w:rPr>
        <w:t>O parágrafo da definição de «animal de espécie pecuária» tem três comentários, todos sobre o acrescento dos insetos e nenhum sobre os animais de companhia:</w:t>
      </w:r>
    </w:p>
    <w:tbl>
      <w:tblPr>
        <w:tblStyle w:val="TableGrid"/>
        <w:tblW w:type="auto" w:w="0"/>
        <w:jc w:val="center"/>
        <w:tblLook w:firstColumn="1" w:firstRow="1" w:lastColumn="0" w:lastRow="0" w:noHBand="0" w:noVBand="1" w:val="04A0"/>
      </w:tblPr>
      <w:tblGrid>
        <w:gridCol w:w="3135"/>
        <w:gridCol w:w="3135"/>
        <w:gridCol w:w="3135"/>
      </w:tblGrid>
      <w:tr>
        <w:tc>
          <w:tcPr>
            <w:tcW w:type="dxa" w:w="1247"/>
          </w:tcPr>
          <w:p>
            <w:pPr>
              <w:spacing w:after="40"/>
            </w:pPr>
            <w:r/>
            <w:r>
              <w:rPr>
                <w:b/>
                <w:color w:val="1F3B63"/>
                <w:sz w:val="18"/>
              </w:rPr>
              <w:t>Marca</w:t>
            </w:r>
          </w:p>
        </w:tc>
        <w:tc>
          <w:tcPr>
            <w:tcW w:type="dxa" w:w="2551"/>
          </w:tcPr>
          <w:p>
            <w:pPr>
              <w:spacing w:after="40"/>
            </w:pPr>
            <w:r/>
            <w:r>
              <w:rPr>
                <w:b/>
                <w:color w:val="1F3B63"/>
                <w:sz w:val="18"/>
              </w:rPr>
              <w:t>Autor</w:t>
            </w:r>
          </w:p>
        </w:tc>
        <w:tc>
          <w:tcPr>
            <w:tcW w:type="dxa" w:w="4989"/>
          </w:tcPr>
          <w:p>
            <w:pPr>
              <w:spacing w:after="40"/>
            </w:pPr>
            <w:r/>
            <w:r>
              <w:rPr>
                <w:b/>
                <w:color w:val="1F3B63"/>
                <w:sz w:val="18"/>
              </w:rPr>
              <w:t>Teor</w:t>
            </w:r>
          </w:p>
        </w:tc>
      </w:tr>
      <w:tr>
        <w:tc>
          <w:tcPr>
            <w:tcW w:type="dxa" w:w="1247"/>
          </w:tcPr>
          <w:p>
            <w:pPr>
              <w:spacing w:after="40"/>
              <w:jc w:val="both"/>
            </w:pPr>
            <w:r/>
            <w:r>
              <w:rPr>
                <w:sz w:val="18"/>
              </w:rPr>
              <w:t>PO54.1</w:t>
            </w:r>
          </w:p>
        </w:tc>
        <w:tc>
          <w:tcPr>
            <w:tcW w:type="dxa" w:w="2551"/>
          </w:tcPr>
          <w:p>
            <w:pPr>
              <w:spacing w:after="40"/>
              <w:jc w:val="both"/>
            </w:pPr>
            <w:r/>
            <w:r>
              <w:rPr>
                <w:sz w:val="18"/>
              </w:rPr>
              <w:t>Paulo Meireles de Oliveira</w:t>
            </w:r>
          </w:p>
        </w:tc>
        <w:tc>
          <w:tcPr>
            <w:tcW w:type="dxa" w:w="4989"/>
          </w:tcPr>
          <w:p>
            <w:pPr>
              <w:spacing w:after="40"/>
              <w:jc w:val="both"/>
            </w:pPr>
            <w:r/>
            <w:r>
              <w:rPr>
                <w:sz w:val="18"/>
              </w:rPr>
              <w:t>«Confirma-se os insectos na pecuária?»</w:t>
            </w:r>
          </w:p>
        </w:tc>
      </w:tr>
      <w:tr>
        <w:tc>
          <w:tcPr>
            <w:tcW w:type="dxa" w:w="1247"/>
          </w:tcPr>
          <w:p>
            <w:pPr>
              <w:spacing w:after="40"/>
              <w:jc w:val="both"/>
            </w:pPr>
            <w:r/>
            <w:r>
              <w:rPr>
                <w:sz w:val="18"/>
              </w:rPr>
              <w:t>GMECT54.2</w:t>
            </w:r>
          </w:p>
        </w:tc>
        <w:tc>
          <w:tcPr>
            <w:tcW w:type="dxa" w:w="2551"/>
          </w:tcPr>
          <w:p>
            <w:pPr>
              <w:spacing w:after="40"/>
              <w:jc w:val="both"/>
            </w:pPr>
            <w:r/>
            <w:r>
              <w:rPr>
                <w:sz w:val="18"/>
              </w:rPr>
              <w:t>G-MECT</w:t>
            </w:r>
          </w:p>
        </w:tc>
        <w:tc>
          <w:tcPr>
            <w:tcW w:type="dxa" w:w="4989"/>
          </w:tcPr>
          <w:p>
            <w:pPr>
              <w:spacing w:after="40"/>
              <w:jc w:val="both"/>
            </w:pPr>
            <w:r/>
            <w:r>
              <w:rPr>
                <w:sz w:val="18"/>
              </w:rPr>
              <w:t>«@Pecuária»</w:t>
            </w:r>
          </w:p>
        </w:tc>
      </w:tr>
      <w:tr>
        <w:tc>
          <w:tcPr>
            <w:tcW w:type="dxa" w:w="1247"/>
          </w:tcPr>
          <w:p>
            <w:pPr>
              <w:spacing w:after="40"/>
              <w:jc w:val="both"/>
            </w:pPr>
            <w:r/>
            <w:r>
              <w:rPr>
                <w:sz w:val="18"/>
              </w:rPr>
              <w:t>NS54.3</w:t>
            </w:r>
          </w:p>
        </w:tc>
        <w:tc>
          <w:tcPr>
            <w:tcW w:type="dxa" w:w="2551"/>
          </w:tcPr>
          <w:p>
            <w:pPr>
              <w:spacing w:after="40"/>
              <w:jc w:val="both"/>
            </w:pPr>
            <w:r/>
            <w:r>
              <w:rPr>
                <w:sz w:val="18"/>
              </w:rPr>
              <w:t>Nádia Silvestre</w:t>
            </w:r>
          </w:p>
        </w:tc>
        <w:tc>
          <w:tcPr>
            <w:tcW w:type="dxa" w:w="4989"/>
          </w:tcPr>
          <w:p>
            <w:pPr>
              <w:spacing w:after="40"/>
              <w:jc w:val="both"/>
            </w:pPr>
            <w:r/>
            <w:r>
              <w:rPr>
                <w:sz w:val="18"/>
              </w:rPr>
              <w:t>«Confirmamos a sua inserção»</w:t>
            </w:r>
          </w:p>
        </w:tc>
      </w:tr>
    </w:tbl>
    <w:p>
      <w:pPr>
        <w:spacing w:after="80"/>
      </w:pPr>
    </w:p>
    <w:p>
      <w:pPr>
        <w:spacing w:after="120"/>
      </w:pPr>
      <w:r>
        <w:rPr>
          <w:b w:val="0"/>
          <w:i w:val="0"/>
          <w:sz w:val="21"/>
        </w:rPr>
        <w:t>O parágrafo onde a eliminação ocorreu, o da definição de «atividade pecuária», tem um único comentário, também de Nádia Silvestre, e igualmente alheio à questão: «ver com dgadr a sua proposta: Atividade pecuária em explorações pecuárias, entrepostos e centros de agrupamentos e atividades complementares de gestão de EP, anexas e autónomas». Não há, no ficheiro, qualquer justificação registada para a eliminação.</w:t>
      </w:r>
    </w:p>
    <w:p>
      <w:pPr>
        <w:spacing w:before="240" w:after="80"/>
      </w:pPr>
      <w:r>
        <w:rPr>
          <w:b/>
          <w:color w:val="1F3B63"/>
          <w:sz w:val="22"/>
        </w:rPr>
        <w:t>2.5. Leitura sobre o motivo (inferência)</w:t>
      </w:r>
    </w:p>
    <w:p>
      <w:pPr>
        <w:spacing w:after="120"/>
      </w:pPr>
      <w:r>
        <w:rPr>
          <w:b w:val="0"/>
          <w:i/>
          <w:sz w:val="21"/>
        </w:rPr>
        <w:t>O que segue é inferência desta Direção de Serviços, e não facto documentado. Apresenta-se como tal.</w:t>
      </w:r>
    </w:p>
    <w:p>
      <w:pPr>
        <w:spacing w:after="120"/>
      </w:pPr>
      <w:r>
        <w:rPr>
          <w:b w:val="0"/>
          <w:i w:val="0"/>
          <w:sz w:val="21"/>
        </w:rPr>
        <w:t>A eliminação parece estar ligada ao artigo que foi criado na mesma revisão. A «detenção caseira» é definida como a detenção de um número reduzido de espécies pecuárias não cinegéticas em que «a posse desses animais tem o objetivo de lazer ou abastecimento do seu detentor», isenta de licenciamento mas sujeita a registo no SNIRA. Se os animais de companhia continuassem excluídos da definição de atividade pecuária, o universo que esse artigo visa, o detentor de algumas galinhas, coelhos ou de um equídeo mantidos por lazer, sairia pela porta das exceções antes de entrar pela porta do registo. A apicultura não colide com esse objetivo e por isso subsistiu.</w:t>
      </w:r>
    </w:p>
    <w:p>
      <w:pPr>
        <w:spacing w:after="120"/>
      </w:pPr>
      <w:r>
        <w:rPr>
          <w:b w:val="0"/>
          <w:i w:val="0"/>
          <w:sz w:val="21"/>
        </w:rPr>
        <w:t>Corrobora esta leitura a alteração do preâmbulo registada no mesmo dia e em nome da mesma pessoa. O texto anterior descrevia a eliminação do controlo prévio da classe 3 e afirmava que essas atividades e a detenção caseira «continuam sujeitas» ao registo no SNIRA, traduzindo-se isso «na flexibilização do regime jurídico aplicável aos pequenos detentores, eliminando barreiras burocráticas desajustadas à dimensão da sua atividade, sem, no entanto, comprometer as exigências de rastreabilidade». O texto resultante diz que «a detenção caseira passará a estar sujeita ao registo para efeitos de Sistema Nacional de Informação e Registo Animal (SNIRA)» e que a integração plena «traduz-se na clarificação do regime jurídico aplicável aos pequenos detentores, salvaguardando as exigências de rastreabilidade em matéria de saúde pública e animal». Passou-se de uma afirmação de continuidade e de desregulação para a afirmação de uma obrigação nova.</w:t>
      </w:r>
    </w:p>
    <w:p>
      <w:pPr>
        <w:spacing w:after="120"/>
      </w:pPr>
      <w:r>
        <w:rPr>
          <w:b w:val="0"/>
          <w:i w:val="0"/>
          <w:sz w:val="21"/>
        </w:rPr>
        <w:t>Consequência prática desta leitura: não se pode pedir a reposição da exclusão como se fosse um lapso de transcrição, porque isso equivaleria a pedir a revogação de um objetivo deliberado e legítimo, que é a rastreabilidade dos pequenos detentores. O que se pode propor é um critério que preserve esse objetivo sem arrastar os animais detidos exclusivamente para fins de companhia. Foi essa a formulação escolhida para o texto enviado.</w:t>
      </w:r>
    </w:p>
    <w:p>
      <w:pPr>
        <w:spacing w:before="240" w:after="80"/>
      </w:pPr>
      <w:r>
        <w:rPr>
          <w:b/>
          <w:color w:val="1F3B63"/>
          <w:sz w:val="22"/>
        </w:rPr>
        <w:t>2.5-A. O que a alteração resolve, e que a lei atual não resolve</w:t>
      </w:r>
    </w:p>
    <w:p>
      <w:pPr>
        <w:spacing w:after="120"/>
      </w:pPr>
      <w:r>
        <w:rPr>
          <w:b w:val="0"/>
          <w:i w:val="0"/>
          <w:sz w:val="21"/>
        </w:rPr>
        <w:t>A eliminação da exclusão não é só perda. Fecha um vazio que é, ele próprio, um problema nosso, e isso tem de ser dito para que a observação seja equilibrada.</w:t>
      </w:r>
    </w:p>
    <w:p>
      <w:pPr>
        <w:spacing w:after="120"/>
      </w:pPr>
      <w:r>
        <w:rPr>
          <w:b w:val="0"/>
          <w:i w:val="0"/>
          <w:sz w:val="21"/>
        </w:rPr>
        <w:t>Hoje o coelho, a galinha ou o pónei detidos em casa por gosto não estão com segurança em nenhum dos dois regimes: o n.º 2 do art.º 1.º do Decreto-Lei n.º 276/2001 exclui «as espécies de pecuária» e a al. a) do n.º 3 do art.º 1.º do Decreto-Lei n.º 81/2013 excluía os animais de companhia. Que o art.º 26.º do primeiro fixe medidas de caixa para coelhos e pequenos roedores resolve a contradição por interpretação e não por texto, o que é frágil: basta invocar a natureza pecuária da espécie para discutir a aplicação do diploma.</w:t>
      </w:r>
    </w:p>
    <w:p>
      <w:pPr>
        <w:spacing w:after="120"/>
      </w:pPr>
      <w:r>
        <w:rPr>
          <w:b w:val="0"/>
          <w:i w:val="0"/>
          <w:sz w:val="21"/>
        </w:rPr>
        <w:t>Resolve ainda dois problemas concretos. O primeiro é o criador informal de coelhos, roedores ou aves para o mercado dos animais de companhia: a al. aa) do n.º 1 do art.º 2.º do Decreto-Lei n.º 276/2001 define criação comercial como possuir «uma ou mais fêmeas reprodutoras cujas crias sejam destinadas ao comércio», o que o apanharia, mas a exclusão das espécies de pecuária dá-lhe argumento para sair. Sem a exclusão do lado pecuário, a cláusula da al. b) do art.º 48.º apanha-o. O segundo é a visibilidade do pequeno detentor, hoje inexistente, de que dependem a fiscalização, o controlo de zoonoses e a identificação do detentor do animal encontrado errante.</w:t>
      </w:r>
    </w:p>
    <w:p>
      <w:pPr>
        <w:spacing w:after="120"/>
      </w:pPr>
      <w:r>
        <w:rPr>
          <w:b w:val="0"/>
          <w:i w:val="0"/>
          <w:sz w:val="21"/>
        </w:rPr>
        <w:t>O problema não é, por isso, o fecho do vazio: é o parâmetro com que se fecha. Pela via pecuária, a referência de bem-estar daquele coelho passa a ser a cabeça normal e a capacidade instalada, grandezas concebidas para medir densidade produtiva e efluentes. O vazio fecha-se, a proteção não melhora.</w:t>
      </w:r>
    </w:p>
    <w:p>
      <w:pPr>
        <w:spacing w:after="120"/>
      </w:pPr>
      <w:r>
        <w:rPr>
          <w:b w:val="0"/>
          <w:i w:val="0"/>
          <w:sz w:val="21"/>
        </w:rPr>
        <w:t>Daqui resulta o erro de técnica que sustenta a observação, e que é mais sólido do que a discussão da exclusão: a redação usa uma única qualificação, ser ou não atividade pecuária, para decidir duas questões independentes, quem fica registado e qual o padrão de bem-estar aplicável. A Lei da Saúde Animal separa-as, ao registar animais de companhia para efeitos de circulação sem os tratar como efetivo. Por isso a formulação pedida não é a reposição da exclusão, que devolveria estes animais à terra de ninguém, mas a adoção do critério finalista com ressalva expressa das obrigações de identificação e registo.</w:t>
      </w:r>
    </w:p>
    <w:p>
      <w:pPr>
        <w:spacing w:before="240" w:after="80"/>
      </w:pPr>
      <w:r>
        <w:rPr>
          <w:b/>
          <w:color w:val="1F3B63"/>
          <w:sz w:val="22"/>
        </w:rPr>
        <w:t>2.5-B. A norma de bem-estar aplicável: os fios já abertos no ficheiro</w:t>
      </w:r>
    </w:p>
    <w:p>
      <w:pPr>
        <w:spacing w:after="120"/>
      </w:pPr>
      <w:r>
        <w:rPr>
          <w:b w:val="0"/>
          <w:i w:val="0"/>
          <w:sz w:val="21"/>
        </w:rPr>
        <w:t>A observação enviada na quarta versão abandona a proposta de redação e passa a colocar uma dúvida de aplicação: a detenção caseira de coelhos ou de pequenos roedores por lazer fica sujeita a que normas de bem-estar? A escolha tem três fundamentos.</w:t>
      </w:r>
    </w:p>
    <w:p>
      <w:pPr>
        <w:spacing w:after="120"/>
      </w:pPr>
      <w:r>
        <w:rPr>
          <w:b w:val="0"/>
          <w:i w:val="0"/>
          <w:sz w:val="21"/>
        </w:rPr>
        <w:t>O primeiro é que a questão já está aberta no documento, e foi aberta do lado do Gabinete. No parágrafo que hoje é o n.º 1 do art.º 54.º, que manda o operador agir «no respeito pelas normas de bem-estar animal», está um comentário de Paulo Meireles de Oliveira a observar que essas normas «parecem decorrer dos regimes complementares e não revogados» e a enumerá-las: o Decreto-Lei n.º 64/2000, o n.º 48/2001 relativo a vitelos, o n.º 72-F/2003 relativo a galinhas poedeiras e o n.º 135/2003 relativo a suínos. O Gabinete encaminhou com «@Pecuária» e a resposta registada foi «Ponderar junto da DGAV e DGADR». Há dois encaminhamentos equivalentes: na linha dos leporídeos do art.º 50.º, «Ver com DGAV e DGADR», e na epígrafe do art.º 51.º, «Verificar com DGAV e DGADR». A observação responde a um fio aberto, não abre um novo.</w:t>
      </w:r>
    </w:p>
    <w:p>
      <w:pPr>
        <w:spacing w:after="120"/>
      </w:pPr>
      <w:r>
        <w:rPr>
          <w:b w:val="0"/>
          <w:i w:val="0"/>
          <w:sz w:val="21"/>
        </w:rPr>
        <w:t>Note-se o que falta na enumeração do revisor: leporídeos e roedores. Não por omissão, mas porque para essas espécies as normas estão em portaria.</w:t>
      </w:r>
    </w:p>
    <w:p>
      <w:pPr>
        <w:spacing w:after="120"/>
      </w:pPr>
      <w:r>
        <w:rPr>
          <w:b w:val="0"/>
          <w:i w:val="0"/>
          <w:sz w:val="21"/>
        </w:rPr>
        <w:t>O segundo fundamento é que o diploma dá pistas de resposta e nenhuma é conclusiva. O art.º 2.º enumera os regimes a articular e não inclui o Decreto-Lei n.º 276/2001. O art.º 36.º, n.º 1, manda cumprir requisitos de higiene e de saúde pública, e o seu n.º 3 refere a legislação aplicável aos «produtos». O art.º 50.º, n.º 1, al. e), habilita portaria sobre a «detenção e produção pecuária» de leporídeos e outras espécies. O art.º 51.º remete para o Decreto-Lei n.º 142/2006. E o art.º 54.º manda respeitar «as normas de bem-estar animal» e «as normas de funcionamento previstas para as espécies», sem as identificar.</w:t>
      </w:r>
    </w:p>
    <w:p>
      <w:pPr>
        <w:spacing w:after="120"/>
      </w:pPr>
      <w:r>
        <w:rPr>
          <w:b w:val="0"/>
          <w:i w:val="0"/>
          <w:sz w:val="21"/>
        </w:rPr>
        <w:t>O terceiro é a delimitação correta do vazio, que obriga a corrigir uma afirmação feita antes nesta análise. Não é exato que as únicas normas específicas para coelhos e pequenos roedores estejam no art.º 26.º e no Anexo II do Decreto-Lei n.º 276/2001. A Portaria n.º 635/2009, de 9 de junho, estabelece as normas regulamentares da detenção e produção pecuária de leporídeos em explorações e núcleos de produção cunícula, armazéns e centros de agrupamento, identifica três sistemas de produção, entre eles o de animais de companhia, e fixa requisitos de instalações e medidas sanitárias. A cláusula da al. b) do art.º 48.º tem, por isso, contrapartida regulamentar desde 2009.</w:t>
      </w:r>
    </w:p>
    <w:p>
      <w:pPr>
        <w:spacing w:after="120"/>
      </w:pPr>
      <w:r>
        <w:rPr>
          <w:b w:val="0"/>
          <w:i w:val="0"/>
          <w:sz w:val="21"/>
        </w:rPr>
        <w:t>O vazio é, então, outro e mais estreito. Aquela portaria assenta nas classes do regime pecuário e a detenção caseira criada pelo projeto situa-se abaixo da classe 3, que subsiste no n.º 4 do art.º 16.º para capacidades até 15 CN, e é expressamente isenta de licenciamento. A pergunta é se uma detenção isenta de licenciamento é alcançada por regulamentação construída sobre as classes de licenciamento. Se for, aplicam-se a um animal de estimação requisitos de isolamento térmico, de lavabilidade de paredes e pavimentos e de vazio sanitário entre lotes, que são parâmetros de produção. Se não for, não se aplica norma alguma.</w:t>
      </w:r>
    </w:p>
    <w:p>
      <w:pPr>
        <w:spacing w:after="120"/>
      </w:pPr>
      <w:r>
        <w:rPr>
          <w:b w:val="0"/>
          <w:i w:val="0"/>
          <w:sz w:val="21"/>
        </w:rPr>
        <w:t>Risco a antecipar: a resposta pode ser «aplica-se a Portaria n.º 635/2009». O contra-argumento é o do parágrafo anterior, e foi deliberadamente deixado fora da observação enviada, para que esta se mantenha como dúvida e não se transforme em alegação.</w:t>
      </w:r>
    </w:p>
    <w:p>
      <w:pPr>
        <w:spacing w:before="240" w:after="80"/>
      </w:pPr>
      <w:r>
        <w:rPr>
          <w:b/>
          <w:color w:val="1F3B63"/>
          <w:sz w:val="22"/>
        </w:rPr>
        <w:t>2.6. O efeito cruzado com o regime dos animais de companhia</w:t>
      </w:r>
    </w:p>
    <w:p>
      <w:pPr>
        <w:spacing w:after="120"/>
      </w:pPr>
      <w:r>
        <w:rPr>
          <w:b w:val="0"/>
          <w:i w:val="0"/>
          <w:sz w:val="21"/>
        </w:rPr>
        <w:t>O n.º 2 do artigo 1.º do Decreto-Lei n.º 276/2001 exclui do seu âmbito «as espécies da fauna selvagem autóctone e exótica e os seus descendentes criados em cativeiro, objeto de regulamentação específica, e os touros de lide e as espécies de pecuária». Lido à letra, o coelho estaria fora daquele diploma. Mas o mesmo diploma regula-o expressamente: o art.º 26.º, «Condições particulares para a manutenção de pequenos roedores e coelhos», exige material de cama adequado e remete as medidas das caixas para o Anexo II, que tem quadros próprios para pequenos roedores, para pequenos roedores em reprodução e para coelhos em reprodução. A contradição aparente resolve-se pelo fim da detenção e não pela espécie: o coelho mantido como animal de companhia é animal de companhia, o coelho de uma cunicultura não é. É esse critério implícito que a eliminação põe em causa, porque o projeto passa a puxar pela espécie e pela atividade.</w:t>
      </w:r>
    </w:p>
    <w:p>
      <w:pPr>
        <w:spacing w:after="120"/>
      </w:pPr>
      <w:r>
        <w:rPr>
          <w:b w:val="0"/>
          <w:i w:val="0"/>
          <w:sz w:val="21"/>
        </w:rPr>
        <w:t>A isso acresce o artigo criado na mesma revisão, «Registo de estabelecimentos não sujeitos», que remete a atividade não sujeita a título apenas para as normas sanitárias, de bem-estar animal, identificação e registo do Decreto-Lei n.º 142/2006, de 27 de julho, sem qualquer referência ao Decreto-Lei n.º 276/2001.</w:t>
      </w:r>
    </w:p>
    <w:p>
      <w:pPr>
        <w:spacing w:before="240" w:after="80"/>
      </w:pPr>
      <w:r>
        <w:rPr>
          <w:b/>
          <w:color w:val="1F3B63"/>
          <w:sz w:val="22"/>
        </w:rPr>
        <w:t>2.7. A ordem de grandeza dos limiares</w:t>
      </w:r>
    </w:p>
    <w:p>
      <w:pPr>
        <w:spacing w:after="120"/>
      </w:pPr>
      <w:r>
        <w:rPr>
          <w:b w:val="0"/>
          <w:i w:val="0"/>
          <w:sz w:val="21"/>
        </w:rPr>
        <w:t>A «detenção caseira» admite capacidade instalada até 3 CN, não podendo ser excedido o limite de 2 CN por espécie pecuária. O projeto não permite, porém, converter esses limiares em número de animais: o seu Anexo V tem o título «Equivalências em cabeças normais (CN)», uma remissão para a «alínea e) do Artigo 46.º», que não corresponde à norma que invoca a tabela, e uma nota de pé que define cabeça normal, mas não tem tabela alguma.</w:t>
      </w:r>
    </w:p>
    <w:p>
      <w:pPr>
        <w:spacing w:after="120"/>
      </w:pPr>
      <w:r>
        <w:rPr>
          <w:b w:val="0"/>
          <w:i w:val="0"/>
          <w:sz w:val="21"/>
        </w:rPr>
        <w:t>Recorrendo à tabela do regime que substitui, o Anexo II do Decreto-Lei n.º 81/2013, obtêm-se as seguintes ordens de grandeza para o limite de 2 CN por espécie:</w:t>
      </w:r>
    </w:p>
    <w:tbl>
      <w:tblPr>
        <w:tblStyle w:val="TableGrid"/>
        <w:tblW w:type="auto" w:w="0"/>
        <w:jc w:val="center"/>
        <w:tblLook w:firstColumn="1" w:firstRow="1" w:lastColumn="0" w:lastRow="0" w:noHBand="0" w:noVBand="1" w:val="04A0"/>
      </w:tblPr>
      <w:tblGrid>
        <w:gridCol w:w="3135"/>
        <w:gridCol w:w="3135"/>
        <w:gridCol w:w="3135"/>
      </w:tblGrid>
      <w:tr>
        <w:tc>
          <w:tcPr>
            <w:tcW w:type="dxa" w:w="3969"/>
          </w:tcPr>
          <w:p>
            <w:pPr>
              <w:spacing w:after="40"/>
            </w:pPr>
            <w:r/>
            <w:r>
              <w:rPr>
                <w:b/>
                <w:color w:val="1F3B63"/>
                <w:sz w:val="18"/>
              </w:rPr>
              <w:t>Espécie e tipo de animal</w:t>
            </w:r>
          </w:p>
        </w:tc>
        <w:tc>
          <w:tcPr>
            <w:tcW w:type="dxa" w:w="1701"/>
          </w:tcPr>
          <w:p>
            <w:pPr>
              <w:spacing w:after="40"/>
            </w:pPr>
            <w:r/>
            <w:r>
              <w:rPr>
                <w:b/>
                <w:color w:val="1F3B63"/>
                <w:sz w:val="18"/>
              </w:rPr>
              <w:t>CN por animal</w:t>
            </w:r>
          </w:p>
        </w:tc>
        <w:tc>
          <w:tcPr>
            <w:tcW w:type="dxa" w:w="3118"/>
          </w:tcPr>
          <w:p>
            <w:pPr>
              <w:spacing w:after="40"/>
            </w:pPr>
            <w:r/>
            <w:r>
              <w:rPr>
                <w:b/>
                <w:color w:val="1F3B63"/>
                <w:sz w:val="18"/>
              </w:rPr>
              <w:t>Animais correspondentes a 2 CN</w:t>
            </w:r>
          </w:p>
        </w:tc>
      </w:tr>
      <w:tr>
        <w:tc>
          <w:tcPr>
            <w:tcW w:type="dxa" w:w="3969"/>
          </w:tcPr>
          <w:p>
            <w:pPr>
              <w:spacing w:after="40"/>
              <w:jc w:val="both"/>
            </w:pPr>
            <w:r/>
            <w:r>
              <w:rPr>
                <w:sz w:val="18"/>
              </w:rPr>
              <w:t>Coelho ou lebre, de recria ou acabamento</w:t>
            </w:r>
          </w:p>
        </w:tc>
        <w:tc>
          <w:tcPr>
            <w:tcW w:type="dxa" w:w="1701"/>
          </w:tcPr>
          <w:p>
            <w:pPr>
              <w:spacing w:after="40"/>
              <w:jc w:val="both"/>
            </w:pPr>
            <w:r/>
            <w:r>
              <w:rPr>
                <w:sz w:val="18"/>
              </w:rPr>
              <w:t>0,009</w:t>
            </w:r>
          </w:p>
        </w:tc>
        <w:tc>
          <w:tcPr>
            <w:tcW w:type="dxa" w:w="3118"/>
          </w:tcPr>
          <w:p>
            <w:pPr>
              <w:spacing w:after="40"/>
              <w:jc w:val="both"/>
            </w:pPr>
            <w:r/>
            <w:r>
              <w:rPr>
                <w:sz w:val="18"/>
              </w:rPr>
              <w:t>cerca de 222</w:t>
            </w:r>
          </w:p>
        </w:tc>
      </w:tr>
      <w:tr>
        <w:tc>
          <w:tcPr>
            <w:tcW w:type="dxa" w:w="3969"/>
          </w:tcPr>
          <w:p>
            <w:pPr>
              <w:spacing w:after="40"/>
              <w:jc w:val="both"/>
            </w:pPr>
            <w:r/>
            <w:r>
              <w:rPr>
                <w:sz w:val="18"/>
              </w:rPr>
              <w:t>Coelha ou lebre reprodutora, em aleitamento</w:t>
            </w:r>
          </w:p>
        </w:tc>
        <w:tc>
          <w:tcPr>
            <w:tcW w:type="dxa" w:w="1701"/>
          </w:tcPr>
          <w:p>
            <w:pPr>
              <w:spacing w:after="40"/>
              <w:jc w:val="both"/>
            </w:pPr>
            <w:r/>
            <w:r>
              <w:rPr>
                <w:sz w:val="18"/>
              </w:rPr>
              <w:t>0,04</w:t>
            </w:r>
          </w:p>
        </w:tc>
        <w:tc>
          <w:tcPr>
            <w:tcW w:type="dxa" w:w="3118"/>
          </w:tcPr>
          <w:p>
            <w:pPr>
              <w:spacing w:after="40"/>
              <w:jc w:val="both"/>
            </w:pPr>
            <w:r/>
            <w:r>
              <w:rPr>
                <w:sz w:val="18"/>
              </w:rPr>
              <w:t>50</w:t>
            </w:r>
          </w:p>
        </w:tc>
      </w:tr>
      <w:tr>
        <w:tc>
          <w:tcPr>
            <w:tcW w:type="dxa" w:w="3969"/>
          </w:tcPr>
          <w:p>
            <w:pPr>
              <w:spacing w:after="40"/>
              <w:jc w:val="both"/>
            </w:pPr>
            <w:r/>
            <w:r>
              <w:rPr>
                <w:sz w:val="18"/>
              </w:rPr>
              <w:t>Galinha poedeira</w:t>
            </w:r>
          </w:p>
        </w:tc>
        <w:tc>
          <w:tcPr>
            <w:tcW w:type="dxa" w:w="1701"/>
          </w:tcPr>
          <w:p>
            <w:pPr>
              <w:spacing w:after="40"/>
              <w:jc w:val="both"/>
            </w:pPr>
            <w:r/>
            <w:r>
              <w:rPr>
                <w:sz w:val="18"/>
              </w:rPr>
              <w:t>0,013</w:t>
            </w:r>
          </w:p>
        </w:tc>
        <w:tc>
          <w:tcPr>
            <w:tcW w:type="dxa" w:w="3118"/>
          </w:tcPr>
          <w:p>
            <w:pPr>
              <w:spacing w:after="40"/>
              <w:jc w:val="both"/>
            </w:pPr>
            <w:r/>
            <w:r>
              <w:rPr>
                <w:sz w:val="18"/>
              </w:rPr>
              <w:t>cerca de 153</w:t>
            </w:r>
          </w:p>
        </w:tc>
      </w:tr>
      <w:tr>
        <w:tc>
          <w:tcPr>
            <w:tcW w:type="dxa" w:w="3969"/>
          </w:tcPr>
          <w:p>
            <w:pPr>
              <w:spacing w:after="40"/>
              <w:jc w:val="both"/>
            </w:pPr>
            <w:r/>
            <w:r>
              <w:rPr>
                <w:sz w:val="18"/>
              </w:rPr>
              <w:t>Frango ou pintada</w:t>
            </w:r>
          </w:p>
        </w:tc>
        <w:tc>
          <w:tcPr>
            <w:tcW w:type="dxa" w:w="1701"/>
          </w:tcPr>
          <w:p>
            <w:pPr>
              <w:spacing w:after="40"/>
              <w:jc w:val="both"/>
            </w:pPr>
            <w:r/>
            <w:r>
              <w:rPr>
                <w:sz w:val="18"/>
              </w:rPr>
              <w:t>0,006</w:t>
            </w:r>
          </w:p>
        </w:tc>
        <w:tc>
          <w:tcPr>
            <w:tcW w:type="dxa" w:w="3118"/>
          </w:tcPr>
          <w:p>
            <w:pPr>
              <w:spacing w:after="40"/>
              <w:jc w:val="both"/>
            </w:pPr>
            <w:r/>
            <w:r>
              <w:rPr>
                <w:sz w:val="18"/>
              </w:rPr>
              <w:t>cerca de 333</w:t>
            </w:r>
          </w:p>
        </w:tc>
      </w:tr>
    </w:tbl>
    <w:p>
      <w:pPr>
        <w:spacing w:after="80"/>
      </w:pPr>
    </w:p>
    <w:p>
      <w:pPr>
        <w:spacing w:after="120"/>
      </w:pPr>
      <w:r>
        <w:rPr>
          <w:b w:val="0"/>
          <w:i w:val="0"/>
          <w:sz w:val="21"/>
        </w:rPr>
        <w:t>Significa que a detenção de algumas centenas de coelhos «para lazer» cabe, em cabeças normais, dentro da detenção caseira, ficando isenta de licenciamento e com o único dever de registo no SNIRA. Fica ainda disponível o argumento de que, tratando-se de atividade pecuária, as medidas mínimas do Anexo II do Decreto-Lei n.º 276/2001 não lhe são oponíveis. Em matéria de bem-estar, é o resultado inverso do pretendido.</w:t>
      </w:r>
    </w:p>
    <w:p>
      <w:pPr>
        <w:spacing w:before="240" w:after="80"/>
      </w:pPr>
      <w:r>
        <w:rPr>
          <w:b/>
          <w:color w:val="1F3B63"/>
          <w:sz w:val="22"/>
        </w:rPr>
        <w:t>2.8. O critério que o RGAC adota</w:t>
      </w:r>
    </w:p>
    <w:p>
      <w:pPr>
        <w:spacing w:after="120"/>
      </w:pPr>
      <w:r>
        <w:rPr>
          <w:b w:val="0"/>
          <w:i w:val="0"/>
          <w:sz w:val="21"/>
        </w:rPr>
        <w:t>O projeto de Regime Geral do Animal de Companhia, em elaboração nesta Direção-Geral e que é trabalho em curso e não legislação vigente, resolve a fronteira por critério finalista, abandonando a exclusão das espécies de pecuária:</w:t>
      </w:r>
    </w:p>
    <w:p>
      <w:pPr>
        <w:spacing w:after="40"/>
        <w:ind w:left="454" w:right="227"/>
      </w:pPr>
      <w:r>
        <w:rPr>
          <w:i/>
          <w:sz w:val="19"/>
        </w:rPr>
        <w:t>«2 - Para efeitos do presente decreto-lei, são animais de companhia os animais das espécies constantes da Parte A do Anexo I do Regulamento (UE) 2016/429 do Parlamento Europeu e do Conselho, de 9 de março de 2016, e, quando detidos para fins de companhia, os das espécies constantes da Parte B do mesmo anexo.»</w:t>
      </w:r>
    </w:p>
    <w:p>
      <w:pPr>
        <w:spacing w:after="160"/>
        <w:ind w:left="454"/>
      </w:pPr>
      <w:r>
        <w:rPr>
          <w:color w:val="555555"/>
          <w:sz w:val="17"/>
        </w:rPr>
        <w:t>n.º 2 do art.º 2.º do projeto de RGAC, versão de trabalho de 30.6.2026, 18h00.</w:t>
      </w:r>
    </w:p>
    <w:p>
      <w:pPr>
        <w:spacing w:after="120"/>
      </w:pPr>
      <w:r>
        <w:rPr>
          <w:b w:val="0"/>
          <w:i w:val="0"/>
          <w:sz w:val="21"/>
        </w:rPr>
        <w:t>Na Parte A do Anexo I daquele regulamento estão o cão, o gato e o furão; na Parte B, entre outros, os coelhos e os pequenos roedores. O critério do RGAC qualifica, portanto, as três primeiras espécies como animais de companhia sem condição, e as restantes quando a detenção tenha esse fim. É este o critério equivalente a que o texto enviado alude, sem o nomear, por o RGAC não ser ainda diploma publicado.</w:t>
      </w:r>
    </w:p>
    <w:p>
      <w:pPr>
        <w:spacing w:before="240" w:after="80"/>
      </w:pPr>
      <w:r>
        <w:rPr>
          <w:b/>
          <w:color w:val="1F3B63"/>
          <w:sz w:val="22"/>
        </w:rPr>
        <w:t>2.9. Efeito por espécie, no estado atual do projeto</w:t>
      </w:r>
    </w:p>
    <w:tbl>
      <w:tblPr>
        <w:tblStyle w:val="TableGrid"/>
        <w:tblW w:type="auto" w:w="0"/>
        <w:jc w:val="center"/>
        <w:tblLook w:firstColumn="1" w:firstRow="1" w:lastColumn="0" w:lastRow="0" w:noHBand="0" w:noVBand="1" w:val="04A0"/>
      </w:tblPr>
      <w:tblGrid>
        <w:gridCol w:w="3135"/>
        <w:gridCol w:w="3135"/>
        <w:gridCol w:w="3135"/>
      </w:tblGrid>
      <w:tr>
        <w:tc>
          <w:tcPr>
            <w:tcW w:type="dxa" w:w="1474"/>
          </w:tcPr>
          <w:p>
            <w:pPr>
              <w:spacing w:after="40"/>
            </w:pPr>
            <w:r/>
            <w:r>
              <w:rPr>
                <w:b/>
                <w:color w:val="1F3B63"/>
                <w:sz w:val="18"/>
              </w:rPr>
              <w:t>Espécie</w:t>
            </w:r>
          </w:p>
        </w:tc>
        <w:tc>
          <w:tcPr>
            <w:tcW w:type="dxa" w:w="3175"/>
          </w:tcPr>
          <w:p>
            <w:pPr>
              <w:spacing w:after="40"/>
            </w:pPr>
            <w:r/>
            <w:r>
              <w:rPr>
                <w:b/>
                <w:color w:val="1F3B63"/>
                <w:sz w:val="18"/>
              </w:rPr>
              <w:t>Risco de ser lida como atividade pecuária</w:t>
            </w:r>
          </w:p>
        </w:tc>
        <w:tc>
          <w:tcPr>
            <w:tcW w:type="dxa" w:w="4139"/>
          </w:tcPr>
          <w:p>
            <w:pPr>
              <w:spacing w:after="40"/>
            </w:pPr>
            <w:r/>
            <w:r>
              <w:rPr>
                <w:b/>
                <w:color w:val="1F3B63"/>
                <w:sz w:val="18"/>
              </w:rPr>
              <w:t>Normas de bem-estar aplicáveis hoje</w:t>
            </w:r>
          </w:p>
        </w:tc>
      </w:tr>
      <w:tr>
        <w:tc>
          <w:tcPr>
            <w:tcW w:type="dxa" w:w="1474"/>
          </w:tcPr>
          <w:p>
            <w:pPr>
              <w:spacing w:after="40"/>
              <w:jc w:val="both"/>
            </w:pPr>
            <w:r/>
            <w:r>
              <w:rPr>
                <w:sz w:val="18"/>
              </w:rPr>
              <w:t>Cães e gatos</w:t>
            </w:r>
          </w:p>
        </w:tc>
        <w:tc>
          <w:tcPr>
            <w:tcW w:type="dxa" w:w="3175"/>
          </w:tcPr>
          <w:p>
            <w:pPr>
              <w:spacing w:after="40"/>
              <w:jc w:val="both"/>
            </w:pPr>
            <w:r/>
            <w:r>
              <w:rPr>
                <w:sz w:val="18"/>
              </w:rPr>
              <w:t>Baixo. Não constam da lista nominativa. A cláusula «produção pecuária de animais destinados a animais de companhia» descreve, à letra, a criação para venda, e a barreira textual que a afastava era a exclusão eliminada.</w:t>
            </w:r>
          </w:p>
        </w:tc>
        <w:tc>
          <w:tcPr>
            <w:tcW w:type="dxa" w:w="4139"/>
          </w:tcPr>
          <w:p>
            <w:pPr>
              <w:spacing w:after="40"/>
              <w:jc w:val="both"/>
            </w:pPr>
            <w:r/>
            <w:r>
              <w:rPr>
                <w:sz w:val="18"/>
              </w:rPr>
              <w:t>Art.ºs 7.º a 18.º e 27.º do DL 276/2001 e Anexo III, com as dimensões mínimas, a proibição de exposição à venda antes da 8.ª semana, o limite de 15 dias em gaiola e o exercício diário. DL 315/2009 para raças potencialmente perigosas. Identificação pelo DL 82/2019, no SIAC. A partir de 2028, Regulamento (UE) 2026/1818; o art.º 15.º e o ponto 2 do Anexo I, sobre alojamento, a partir de 31.8.2031.</w:t>
            </w:r>
          </w:p>
        </w:tc>
      </w:tr>
      <w:tr>
        <w:tc>
          <w:tcPr>
            <w:tcW w:type="dxa" w:w="1474"/>
          </w:tcPr>
          <w:p>
            <w:pPr>
              <w:spacing w:after="40"/>
              <w:jc w:val="both"/>
            </w:pPr>
            <w:r/>
            <w:r>
              <w:rPr>
                <w:sz w:val="18"/>
              </w:rPr>
              <w:t>Furões</w:t>
            </w:r>
          </w:p>
        </w:tc>
        <w:tc>
          <w:tcPr>
            <w:tcW w:type="dxa" w:w="3175"/>
          </w:tcPr>
          <w:p>
            <w:pPr>
              <w:spacing w:after="40"/>
              <w:jc w:val="both"/>
            </w:pPr>
            <w:r/>
            <w:r>
              <w:rPr>
                <w:sz w:val="18"/>
              </w:rPr>
              <w:t>Baixo, pela mesma via dos cães e gatos.</w:t>
            </w:r>
          </w:p>
        </w:tc>
        <w:tc>
          <w:tcPr>
            <w:tcW w:type="dxa" w:w="4139"/>
          </w:tcPr>
          <w:p>
            <w:pPr>
              <w:spacing w:after="40"/>
              <w:jc w:val="both"/>
            </w:pPr>
            <w:r/>
            <w:r>
              <w:rPr>
                <w:sz w:val="18"/>
              </w:rPr>
              <w:t>Nenhuma norma específica. A pesquisa das palavras «furão» e «furões» no DL 276/2001 não devolve ocorrências; aplicam-se só as normas gerais. Subsiste dúvida de âmbito, por o n.º 2 do art.º 1.º excluir a fauna selvagem autóctone e os seus descendentes criados em cativeiro. Identificação obrigatória pelo DL 82/2019. Fora do Regulamento (UE) 2026/1818, que abrange apenas cães e gatos.</w:t>
            </w:r>
          </w:p>
        </w:tc>
      </w:tr>
      <w:tr>
        <w:tc>
          <w:tcPr>
            <w:tcW w:type="dxa" w:w="1474"/>
          </w:tcPr>
          <w:p>
            <w:pPr>
              <w:spacing w:after="40"/>
              <w:jc w:val="both"/>
            </w:pPr>
            <w:r/>
            <w:r>
              <w:rPr>
                <w:sz w:val="18"/>
              </w:rPr>
              <w:t>Coelhos</w:t>
            </w:r>
          </w:p>
        </w:tc>
        <w:tc>
          <w:tcPr>
            <w:tcW w:type="dxa" w:w="3175"/>
          </w:tcPr>
          <w:p>
            <w:pPr>
              <w:spacing w:after="40"/>
              <w:jc w:val="both"/>
            </w:pPr>
            <w:r/>
            <w:r>
              <w:rPr>
                <w:sz w:val="18"/>
              </w:rPr>
              <w:t>Elevado. «Leporídeo (coelhos e lebres)» consta da lista nominativa, e a detenção por lazer é o próprio critério da detenção caseira.</w:t>
            </w:r>
          </w:p>
        </w:tc>
        <w:tc>
          <w:tcPr>
            <w:tcW w:type="dxa" w:w="4139"/>
          </w:tcPr>
          <w:p>
            <w:pPr>
              <w:spacing w:after="40"/>
              <w:jc w:val="both"/>
            </w:pPr>
            <w:r/>
            <w:r>
              <w:rPr>
                <w:sz w:val="18"/>
              </w:rPr>
              <w:t>Art.º 26.º do DL 276/2001 e Anexo II, com medidas mínimas de caixa, incluindo quadro para coelhos em reprodução. Fora do Regulamento (UE) 2026/1818.</w:t>
            </w:r>
          </w:p>
        </w:tc>
      </w:tr>
      <w:tr>
        <w:tc>
          <w:tcPr>
            <w:tcW w:type="dxa" w:w="1474"/>
          </w:tcPr>
          <w:p>
            <w:pPr>
              <w:spacing w:after="40"/>
              <w:jc w:val="both"/>
            </w:pPr>
            <w:r/>
            <w:r>
              <w:rPr>
                <w:sz w:val="18"/>
              </w:rPr>
              <w:t>Hamsters e porquinhos-da-índia</w:t>
            </w:r>
          </w:p>
        </w:tc>
        <w:tc>
          <w:tcPr>
            <w:tcW w:type="dxa" w:w="3175"/>
          </w:tcPr>
          <w:p>
            <w:pPr>
              <w:spacing w:after="40"/>
              <w:jc w:val="both"/>
            </w:pPr>
            <w:r/>
            <w:r>
              <w:rPr>
                <w:sz w:val="18"/>
              </w:rPr>
              <w:t>Intermédio. Não constam da lista nominativa, mas cabem em «outra espécie» conjugada com a cláusula finalista.</w:t>
            </w:r>
          </w:p>
        </w:tc>
        <w:tc>
          <w:tcPr>
            <w:tcW w:type="dxa" w:w="4139"/>
          </w:tcPr>
          <w:p>
            <w:pPr>
              <w:spacing w:after="40"/>
              <w:jc w:val="both"/>
            </w:pPr>
            <w:r/>
            <w:r>
              <w:rPr>
                <w:sz w:val="18"/>
              </w:rPr>
              <w:t>Art.º 26.º do DL 276/2001 e Anexo II, als. a) e b), com medidas mínimas para outros pequenos roedores e para pequenos roedores em reprodução. Fora do Regulamento (UE) 2026/1818.</w:t>
            </w:r>
          </w:p>
        </w:tc>
      </w:tr>
    </w:tbl>
    <w:p>
      <w:pPr>
        <w:spacing w:after="80"/>
      </w:pPr>
    </w:p>
    <w:p>
      <w:pPr>
        <w:spacing w:before="240" w:after="80"/>
      </w:pPr>
      <w:r>
        <w:rPr>
          <w:b/>
          <w:color w:val="1F3B63"/>
          <w:sz w:val="22"/>
        </w:rPr>
        <w:t>2.10. Fontes do ponto 02</w:t>
      </w:r>
    </w:p>
    <w:p>
      <w:pPr>
        <w:pStyle w:val="ListBullet"/>
        <w:spacing w:after="60"/>
        <w:jc w:val="both"/>
      </w:pPr>
      <w:r>
        <w:rPr>
          <w:sz w:val="21"/>
        </w:rPr>
        <w:t>Projeto: «DL 405 XXV 2026_PECUÁRIA_GSEA 25_09_v1.docx» — preâmbulo; art.ºs 16.º, 48.º, als. b), c) e i), 49.º e 51.º do anexo; Anexo V. Alterações e comentários registados no próprio ficheiro, com autor e data, lidos a partir do respetivo XML.</w:t>
      </w:r>
    </w:p>
    <w:p>
      <w:pPr>
        <w:pStyle w:val="ListBullet"/>
        <w:spacing w:after="60"/>
        <w:jc w:val="both"/>
      </w:pPr>
      <w:r>
        <w:rPr>
          <w:sz w:val="21"/>
        </w:rPr>
        <w:t>Decreto-Lei n.º 81/2013, de 14 de junho, Novo Regime do Exercício da Atividade Pecuária — art.º 1.º, n.º 3, al. a), art.º 2.º, al. c), e Anexo II, «Equivalências em cabeças normais (CN)». Anexo verificado no Diário da República, 1.ª série, n.º 113, de 14 de junho de 2013, pp. 3324 e 3325.</w:t>
      </w:r>
    </w:p>
    <w:p>
      <w:pPr>
        <w:pStyle w:val="ListBullet"/>
        <w:spacing w:after="60"/>
        <w:jc w:val="both"/>
      </w:pPr>
      <w:r>
        <w:rPr>
          <w:sz w:val="21"/>
        </w:rPr>
        <w:t>Decreto-Lei n.º 276/2001, de 17 de outubro, versão consolidada — art.ºs 1.º, n.º 2, 2.º, 26.º e Anexo II; e, para a comparação por espécie, art.ºs 7.º a 18.º, 27.º e Anexo III.</w:t>
      </w:r>
    </w:p>
    <w:p>
      <w:pPr>
        <w:pStyle w:val="ListBullet"/>
        <w:spacing w:after="60"/>
        <w:jc w:val="both"/>
      </w:pPr>
      <w:r>
        <w:rPr>
          <w:sz w:val="21"/>
        </w:rPr>
        <w:t>Decreto-Lei n.º 82/2019, de 27 de junho — identificação obrigatória de cães, gatos e furões.</w:t>
      </w:r>
    </w:p>
    <w:p>
      <w:pPr>
        <w:pStyle w:val="ListBullet"/>
        <w:spacing w:after="60"/>
        <w:jc w:val="both"/>
      </w:pPr>
      <w:r>
        <w:rPr>
          <w:sz w:val="21"/>
        </w:rPr>
        <w:t>Decreto-Lei n.º 142/2006, de 27 de julho — regime de identificação, registo e circulação de animais, para que remete o artigo «Registo de estabelecimentos não sujeitos» do projeto.</w:t>
      </w:r>
    </w:p>
    <w:p>
      <w:pPr>
        <w:pStyle w:val="ListBullet"/>
        <w:spacing w:after="60"/>
        <w:jc w:val="both"/>
      </w:pPr>
      <w:r>
        <w:rPr>
          <w:sz w:val="21"/>
        </w:rPr>
        <w:t>Regulamento (UE) 2016/429 do Parlamento Europeu e do Conselho, de 9 de março de 2016, Anexo I, Partes A e B.</w:t>
      </w:r>
    </w:p>
    <w:p>
      <w:pPr>
        <w:pStyle w:val="ListBullet"/>
        <w:spacing w:after="60"/>
        <w:jc w:val="both"/>
      </w:pPr>
      <w:r>
        <w:rPr>
          <w:sz w:val="21"/>
        </w:rPr>
        <w:t>Projeto de RGAC, «RGAC_DAJA_REV. FORMAL_V1_Versão TRABALHO - Revisto 30-06-2026 18h00 Grupo.docx» — art.º 2.º, n.º 2. Trabalho em curso, citado como tal.</w:t>
      </w:r>
    </w:p>
    <w:p>
      <w:pPr>
        <w:spacing w:before="240" w:after="80"/>
      </w:pPr>
      <w:r>
        <w:rPr>
          <w:b/>
          <w:color w:val="1F3B63"/>
          <w:sz w:val="22"/>
        </w:rPr>
        <w:t>2.11. Verificações pendentes</w:t>
      </w:r>
    </w:p>
    <w:p>
      <w:pPr>
        <w:pStyle w:val="ListBullet"/>
        <w:spacing w:after="60"/>
        <w:jc w:val="both"/>
      </w:pPr>
      <w:r>
        <w:rPr>
          <w:sz w:val="21"/>
        </w:rPr>
        <w:t>Confirmar se a formulação «produção pecuária de animais destinados a animais de companhia» já constava do Decreto-Lei n.º 214/2008, de 10 de novembro, que o Decreto-Lei n.º 81/2013 revogou.</w:t>
      </w:r>
    </w:p>
    <w:p>
      <w:pPr>
        <w:pStyle w:val="ListBullet"/>
        <w:spacing w:after="60"/>
        <w:jc w:val="both"/>
      </w:pPr>
      <w:r>
        <w:rPr>
          <w:sz w:val="21"/>
        </w:rPr>
        <w:t>Confirmar se o Anexo V do projeto virá a reproduzir a tabela do Anexo II do Decreto-Lei n.º 81/2013 ou se terá valores próprios, e corrigir a remissão para a «alínea e) do Artigo 46.º».</w:t>
      </w:r>
    </w:p>
    <w:p>
      <w:pPr>
        <w:pStyle w:val="ListBullet"/>
        <w:spacing w:after="60"/>
        <w:jc w:val="both"/>
      </w:pPr>
      <w:r>
        <w:rPr>
          <w:sz w:val="21"/>
        </w:rPr>
        <w:t>Quantificar o universo afetado: número de estabelecimentos do CAE 47762 e, destes, quantos detêm animais vivos. Sem este dado não é possível avaliar a exequibilidade de procedimentos mais exigentes.</w:t>
      </w:r>
    </w:p>
    <w:p>
      <w:pPr>
        <w:spacing w:before="360" w:after="120"/>
      </w:pPr>
      <w:r>
        <w:rPr>
          <w:b/>
          <w:color w:val="1F3B63"/>
          <w:sz w:val="26"/>
        </w:rPr>
        <w:t>Secção transversal — A Lei da Saúde Animal como pano de fundo</w:t>
      </w:r>
    </w:p>
    <w:p>
      <w:pPr>
        <w:spacing w:after="120"/>
      </w:pPr>
      <w:r>
        <w:rPr>
          <w:b w:val="0"/>
          <w:i w:val="0"/>
          <w:sz w:val="21"/>
        </w:rPr>
        <w:t>Esta secção serve os pontos 01, 02 e 09 e explica por que razão o Regulamento (UE) 2016/429, Lei da Saúde Animal, é o enquadramento que decide as duas questões já fechadas.</w:t>
      </w:r>
    </w:p>
    <w:p>
      <w:pPr>
        <w:spacing w:before="240" w:after="80"/>
      </w:pPr>
      <w:r>
        <w:rPr>
          <w:b/>
          <w:color w:val="1F3B63"/>
          <w:sz w:val="22"/>
        </w:rPr>
        <w:t>T.1. O registo de 2028 é o registo da Lei da Saúde Animal</w:t>
      </w:r>
    </w:p>
    <w:p>
      <w:pPr>
        <w:spacing w:after="120"/>
      </w:pPr>
      <w:r>
        <w:rPr>
          <w:b w:val="0"/>
          <w:i w:val="0"/>
          <w:sz w:val="21"/>
        </w:rPr>
        <w:t>A obrigação de notificação dos estabelecimentos do artigo 9.º do Regulamento (UE) 2026/1818 não cria sistema novo: encaixa no da Lei da Saúde Animal, e di-lo expressamente.</w:t>
      </w:r>
    </w:p>
    <w:p>
      <w:pPr>
        <w:spacing w:after="40"/>
        <w:ind w:left="454" w:right="227"/>
      </w:pPr>
      <w:r>
        <w:rPr>
          <w:i/>
          <w:sz w:val="19"/>
        </w:rPr>
        <w:t>«3. Member States shall use the information provided for in accordance with Article 84 of Regulation (EU) 2016/429. Operators shall not be required to notify the information already submitted in accordance with that Article again. 4. The competent authority shall keep a register of establishments. The competent authority may, for that purpose, use the register established pursuant to Article 101(1), point (a), of Regulation (EU) 2016/429.»</w:t>
      </w:r>
    </w:p>
    <w:p>
      <w:pPr>
        <w:spacing w:after="160"/>
        <w:ind w:left="454"/>
      </w:pPr>
      <w:r>
        <w:rPr>
          <w:color w:val="555555"/>
          <w:sz w:val="17"/>
        </w:rPr>
        <w:t>art.º 9.º, n.ºs 3 e 4, do Regulamento (UE) 2026/1818 — versão inglesa, JO L, 2026/1818, de 10.8.2026.</w:t>
      </w:r>
    </w:p>
    <w:p>
      <w:pPr>
        <w:spacing w:after="40"/>
        <w:ind w:left="454" w:right="227"/>
      </w:pPr>
      <w:r>
        <w:rPr>
          <w:i/>
          <w:sz w:val="19"/>
        </w:rPr>
        <w:t>«3. Os Estados-Membros devem utilizar as informações facultadas em conformidade com o artigo 84.º do Regulamento (UE) 2016/429. Os operadores não são obrigados a notificar novamente as informações já comunicadas em conformidade com o referido artigo. 4. A autoridade competente deve manter um registo de estabelecimentos. A autoridade competente pode utilizar, para esse efeito, o registo criado nos termos do artigo 101.º, n.º 1, alínea a), do Regulamento (UE) 2016/429.»</w:t>
      </w:r>
    </w:p>
    <w:p>
      <w:pPr>
        <w:spacing w:after="160"/>
        <w:ind w:left="454"/>
      </w:pPr>
      <w:r>
        <w:rPr>
          <w:color w:val="555555"/>
          <w:sz w:val="17"/>
        </w:rPr>
        <w:t>art.º 9.º, n.ºs 3 e 4, do Regulamento (UE) 2026/1818 — versão portuguesa.</w:t>
      </w:r>
    </w:p>
    <w:p>
      <w:pPr>
        <w:spacing w:after="120"/>
      </w:pPr>
      <w:r>
        <w:rPr>
          <w:b w:val="0"/>
          <w:i w:val="0"/>
          <w:sz w:val="21"/>
        </w:rPr>
        <w:t>Daqui decorre que a obrigação de registo destes estabelecimentos não nasce em 31 de agosto de 2028. O artigo 84.º da Lei da Saúde Animal, aplicável desde 21 de abril de 2021, impõe aos operadores de estabelecimentos que detêm animais terrestres o dever de informar a autoridade competente antes de iniciar a atividade, para que o estabelecimento seja registado; e o artigo 101.º impõe à autoridade competente a constituição e manutenção dos registos correspondentes. Nenhum dos dois está limitado às espécies pecuárias, pelo que o criador e a loja de cães e gatos são, nessa aceção, estabelecimentos. O que o Regulamento de 2026 acrescenta é conteúdo e publicidade, não a obrigação de base.</w:t>
      </w:r>
    </w:p>
    <w:p>
      <w:pPr>
        <w:spacing w:before="240" w:after="80"/>
      </w:pPr>
      <w:r>
        <w:rPr>
          <w:b/>
          <w:color w:val="1F3B63"/>
          <w:sz w:val="22"/>
        </w:rPr>
        <w:t>T.2. A fronteira que se pede ao diploma nacional já é europeia</w:t>
      </w:r>
    </w:p>
    <w:p>
      <w:pPr>
        <w:spacing w:after="120"/>
      </w:pPr>
      <w:r>
        <w:rPr>
          <w:b w:val="0"/>
          <w:i w:val="0"/>
          <w:sz w:val="21"/>
        </w:rPr>
        <w:t>A Lei da Saúde Animal distingue animal de companhia de animal detido em estabelecimento, e distingue-o pela finalidade da detenção:</w:t>
      </w:r>
    </w:p>
    <w:p>
      <w:pPr>
        <w:spacing w:after="40"/>
        <w:ind w:left="454" w:right="227"/>
      </w:pPr>
      <w:r>
        <w:rPr>
          <w:i/>
          <w:sz w:val="19"/>
        </w:rPr>
        <w:t>«11) «Animal de companhia», um animal detido das espécies listadas no anexo I, que é detido para fins privados não comerciais;»</w:t>
      </w:r>
    </w:p>
    <w:p>
      <w:pPr>
        <w:spacing w:after="160"/>
        <w:ind w:left="454"/>
      </w:pPr>
      <w:r>
        <w:rPr>
          <w:color w:val="555555"/>
          <w:sz w:val="17"/>
        </w:rPr>
        <w:t>art.º 4.º, ponto 11, do Regulamento (UE) 2016/429.</w:t>
      </w:r>
    </w:p>
    <w:p>
      <w:pPr>
        <w:spacing w:after="120"/>
      </w:pPr>
      <w:r>
        <w:rPr>
          <w:b w:val="0"/>
          <w:i w:val="0"/>
          <w:sz w:val="21"/>
        </w:rPr>
        <w:t>É o mesmo critério que o projeto de RGAC adota no n.º 2 do seu artigo 2.º, com a distinção entre as espécies da Parte A do Anexo I, que são sempre animais de companhia, e as da Parte B, que o são quando detidas para fins de companhia. O critério que as observações 02 pedem não é, por isso, uma invenção nacional: é o critério do direito da União, de aplicação direta, que o próprio projeto já invoca ao referir, na al. d) do art.º 2.º do anexo, o regime de identificação, registo e circulação dos animais.</w:t>
      </w:r>
    </w:p>
    <w:p>
      <w:pPr>
        <w:spacing w:before="240" w:after="80"/>
      </w:pPr>
      <w:r>
        <w:rPr>
          <w:b/>
          <w:color w:val="1F3B63"/>
          <w:sz w:val="22"/>
        </w:rPr>
        <w:t>T.3. A «detenção caseira» funde duas categorias que a Lei da Saúde Animal separa</w:t>
      </w:r>
    </w:p>
    <w:p>
      <w:pPr>
        <w:spacing w:after="120"/>
      </w:pPr>
      <w:r>
        <w:rPr>
          <w:b w:val="0"/>
          <w:i w:val="0"/>
          <w:sz w:val="21"/>
        </w:rPr>
        <w:t>A al. i) do art.º 48.º do anexo define a detenção caseira pela posse de animais cujo objetivo é «de lazer ou abastecimento do seu detentor». São duas realidades distintas à luz da Lei da Saúde Animal. A detenção por lazer, sem comércio, corresponde à detenção de animais de companhia na aceção do art.º 4.º, ponto 11, e não constitui estabelecimento. A detenção para abastecimento do próprio detentor é produção primária e cai no âmbito do art.º 84.º, com as derrogações que este e o Regulamento Delegado (UE) 2019/2035 admitem para estabelecimentos de pequena dimensão.</w:t>
      </w:r>
    </w:p>
    <w:p>
      <w:pPr>
        <w:spacing w:after="120"/>
      </w:pPr>
      <w:r>
        <w:rPr>
          <w:b w:val="0"/>
          <w:i w:val="0"/>
          <w:sz w:val="21"/>
        </w:rPr>
        <w:t>Sujeitar ambas, indistintamente, ao registo no SNIRA trata como exploração pecuária aquilo que o direito europeu classifica como detenção de animais de companhia. É esta a observação de fundo do ponto 02, e é por esta via, e não pela reposição da exclusão eliminada, que ela melhor se sustenta: preserva o objetivo de rastreabilidade de quem produz e deixa de fora quem detém apenas por companhia.</w:t>
      </w:r>
    </w:p>
    <w:p>
      <w:pPr>
        <w:spacing w:before="240" w:after="80"/>
      </w:pPr>
      <w:r>
        <w:rPr>
          <w:b/>
          <w:color w:val="1F3B63"/>
          <w:sz w:val="22"/>
        </w:rPr>
        <w:t>T.4. O veículo nacional do registo</w:t>
      </w:r>
    </w:p>
    <w:p>
      <w:pPr>
        <w:spacing w:after="120"/>
      </w:pPr>
      <w:r>
        <w:rPr>
          <w:b w:val="0"/>
          <w:i w:val="0"/>
          <w:sz w:val="21"/>
        </w:rPr>
        <w:t>Em Portugal, o registo que materializa o art.º 101.º da Lei da Saúde Animal quanto a estabelecimentos de animais de companhia é, hoje, a lista da DGAV das meras comunicações prévias do art.º 3.º-A do Decreto-Lei n.º 276/2001, divulgada nos termos do n.º 12 do seu art.º 3.º. O projeto de RGAC consolida essa função no SIAC, que passa a ser a base de dados oficial de identificação e registo dos animais de companhia, do RNAZ e dos estabelecimentos, e monta no artigo da divulgação dos estabelecimentos a lista pública com número único de aprovação, exigida também pelo n.º 3 do art.º 10.º do Regulamento (UE) 2026/1818.</w:t>
      </w:r>
    </w:p>
    <w:p>
      <w:pPr>
        <w:spacing w:after="120"/>
      </w:pPr>
      <w:r>
        <w:rPr>
          <w:b w:val="0"/>
          <w:i w:val="0"/>
          <w:sz w:val="21"/>
        </w:rPr>
        <w:t>É esta a ligação ao ponto 01: encaminhada a loja de animais para um procedimento puramente municipal, sem pronúncia nem notificação da DGAV, nada do que o procedimento recolhe alimenta o registo que a autoridade competente tem de manter. E é esta a ligação ao ponto 09: o cadastro setorial e a base de dados setorial do anexo não incluem o SIAC entre os sistemas a articular.</w:t>
      </w:r>
    </w:p>
    <w:p>
      <w:pPr>
        <w:spacing w:before="240" w:after="80"/>
      </w:pPr>
      <w:r>
        <w:rPr>
          <w:b/>
          <w:color w:val="1F3B63"/>
          <w:sz w:val="22"/>
        </w:rPr>
        <w:t>T.5. Fontes e verificações pendentes desta secção</w:t>
      </w:r>
    </w:p>
    <w:p>
      <w:pPr>
        <w:pStyle w:val="ListBullet"/>
        <w:spacing w:after="60"/>
        <w:jc w:val="both"/>
      </w:pPr>
      <w:r>
        <w:rPr>
          <w:sz w:val="21"/>
        </w:rPr>
        <w:t>Regulamento (UE) 2026/1818 — art.º 9.º, n.ºs 3 e 4, e art.º 10.º, n.º 3, nas versões inglesa e portuguesa do texto publicado no Jornal Oficial. Confirmado.</w:t>
      </w:r>
    </w:p>
    <w:p>
      <w:pPr>
        <w:pStyle w:val="ListBullet"/>
        <w:spacing w:after="60"/>
        <w:jc w:val="both"/>
      </w:pPr>
      <w:r>
        <w:rPr>
          <w:sz w:val="21"/>
        </w:rPr>
        <w:t>Regulamento (UE) 2016/429 — art.º 4.º, ponto 11. Confirmado.</w:t>
      </w:r>
    </w:p>
    <w:p>
      <w:pPr>
        <w:pStyle w:val="ListBullet"/>
        <w:spacing w:after="60"/>
        <w:jc w:val="both"/>
      </w:pPr>
      <w:r>
        <w:rPr>
          <w:sz w:val="21"/>
        </w:rPr>
        <w:t>Regulamento (UE) 2016/429 — art.ºs 84.º, 93.º e 101.º. O teor foi apurado por fonte secundária: o acesso ao EUR-Lex foi recusado a partir deste ambiente, pelo que o texto não foi lido no Jornal Oficial. A descrição acima não deve ser usada como citação verbatim sem essa confirmação.</w:t>
      </w:r>
    </w:p>
    <w:p>
      <w:pPr>
        <w:pStyle w:val="ListBullet"/>
        <w:spacing w:after="60"/>
        <w:jc w:val="both"/>
      </w:pPr>
      <w:r>
        <w:rPr>
          <w:sz w:val="21"/>
        </w:rPr>
        <w:t>Regulamento Delegado (UE) 2019/2035 da Comissão — referido pelo projeto de RGAC, inclusive quanto ao art.º 71.º-A, em matéria de rastreabilidade de cães, gatos e furões. Não verificado nesta sessão.</w:t>
      </w:r>
    </w:p>
    <w:p>
      <w:pPr>
        <w:pStyle w:val="ListBullet"/>
        <w:spacing w:after="60"/>
        <w:jc w:val="both"/>
      </w:pPr>
      <w:r>
        <w:rPr>
          <w:sz w:val="21"/>
        </w:rPr>
        <w:t>Verificação pendente: se os estabelecimentos de animais de companhia estão hoje efetivamente registados ao abrigo do art.º 84.º da Lei da Saúde Animal e em que sistema. É a pergunta que determina se existe já um incumprimento a corrigir ou apenas um risco a prevenir.</w:t>
      </w:r>
    </w:p>
    <w:p>
      <w:pPr>
        <w:spacing w:before="360" w:after="120"/>
      </w:pPr>
      <w:r>
        <w:rPr>
          <w:b/>
          <w:color w:val="1F3B63"/>
          <w:sz w:val="26"/>
        </w:rPr>
        <w:t>Registo de alterações</w:t>
      </w:r>
    </w:p>
    <w:tbl>
      <w:tblPr>
        <w:tblStyle w:val="TableGrid"/>
        <w:tblW w:type="auto" w:w="0"/>
        <w:jc w:val="center"/>
        <w:tblLook w:firstColumn="1" w:firstRow="1" w:lastColumn="0" w:lastRow="0" w:noHBand="0" w:noVBand="1" w:val="04A0"/>
      </w:tblPr>
      <w:tblGrid>
        <w:gridCol w:w="4703"/>
        <w:gridCol w:w="4703"/>
      </w:tblGrid>
      <w:tr>
        <w:tc>
          <w:tcPr>
            <w:tcW w:type="dxa" w:w="1361"/>
          </w:tcPr>
          <w:p>
            <w:pPr>
              <w:spacing w:after="40"/>
            </w:pPr>
            <w:r/>
            <w:r>
              <w:rPr>
                <w:b/>
                <w:color w:val="1F3B63"/>
                <w:sz w:val="18"/>
              </w:rPr>
              <w:t>Data</w:t>
            </w:r>
          </w:p>
        </w:tc>
        <w:tc>
          <w:tcPr>
            <w:tcW w:type="dxa" w:w="7427"/>
          </w:tcPr>
          <w:p>
            <w:pPr>
              <w:spacing w:after="40"/>
            </w:pPr>
            <w:r/>
            <w:r>
              <w:rPr>
                <w:b/>
                <w:color w:val="1F3B63"/>
                <w:sz w:val="18"/>
              </w:rPr>
              <w:t>Alteração</w:t>
            </w:r>
          </w:p>
        </w:tc>
      </w:tr>
      <w:tr>
        <w:tc>
          <w:tcPr>
            <w:tcW w:type="dxa" w:w="1361"/>
          </w:tcPr>
          <w:p>
            <w:pPr>
              <w:spacing w:after="40"/>
              <w:jc w:val="both"/>
            </w:pPr>
            <w:r/>
            <w:r>
              <w:rPr>
                <w:sz w:val="18"/>
              </w:rPr>
              <w:t>6.10.2026</w:t>
            </w:r>
          </w:p>
        </w:tc>
        <w:tc>
          <w:tcPr>
            <w:tcW w:type="dxa" w:w="7427"/>
          </w:tcPr>
          <w:p>
            <w:pPr>
              <w:spacing w:after="40"/>
              <w:jc w:val="both"/>
            </w:pPr>
            <w:r/>
            <w:r>
              <w:rPr>
                <w:sz w:val="18"/>
              </w:rPr>
              <w:t>Criação do documento. Índice da série e numeração. Fundamentação dos pontos 01 e 02.</w:t>
            </w:r>
          </w:p>
        </w:tc>
      </w:tr>
      <w:tr>
        <w:tc>
          <w:tcPr>
            <w:tcW w:type="dxa" w:w="1361"/>
          </w:tcPr>
          <w:p>
            <w:pPr>
              <w:spacing w:after="40"/>
              <w:jc w:val="both"/>
            </w:pPr>
            <w:r/>
            <w:r>
              <w:rPr>
                <w:sz w:val="18"/>
              </w:rPr>
              <w:t>6.10.2026</w:t>
            </w:r>
          </w:p>
        </w:tc>
        <w:tc>
          <w:tcPr>
            <w:tcW w:type="dxa" w:w="7427"/>
          </w:tcPr>
          <w:p>
            <w:pPr>
              <w:spacing w:after="40"/>
              <w:jc w:val="both"/>
            </w:pPr>
            <w:r/>
            <w:r>
              <w:rPr>
                <w:sz w:val="18"/>
              </w:rPr>
              <w:t>Observações 02 em quarta versão, 197 palavras: deixa de propor redação e passa a colocar uma dúvida de aplicação sobre a norma de bem-estar aplicável à detenção caseira, ligando-se a um fio já aberto no ficheiro. Acrescentado o ponto 2.5-B, com os três encaminhamentos para a DGAV registados no documento e com a correção relativa à Portaria n.º 635/2009, que estreita a delimitação do vazio.</w:t>
            </w:r>
          </w:p>
        </w:tc>
      </w:tr>
      <w:tr>
        <w:tc>
          <w:tcPr>
            <w:tcW w:type="dxa" w:w="1361"/>
          </w:tcPr>
          <w:p>
            <w:pPr>
              <w:spacing w:after="40"/>
              <w:jc w:val="both"/>
            </w:pPr>
            <w:r/>
            <w:r>
              <w:rPr>
                <w:sz w:val="18"/>
              </w:rPr>
              <w:t>6.10.2026</w:t>
            </w:r>
          </w:p>
        </w:tc>
        <w:tc>
          <w:tcPr>
            <w:tcW w:type="dxa" w:w="7427"/>
          </w:tcPr>
          <w:p>
            <w:pPr>
              <w:spacing w:after="40"/>
              <w:jc w:val="both"/>
            </w:pPr>
            <w:r/>
            <w:r>
              <w:rPr>
                <w:sz w:val="18"/>
              </w:rPr>
              <w:t>Observações 02 ajustadas: a alternativa de repor a exclusão eliminada foi substituída pela adoção do critério finalista com ressalva das obrigações de identificação e registo, por se reconhecer que a reposição reabriria um vazio. Acrescentado o ponto 2.5-A, sobre o que a alteração resolve e que a lei atual não resolve.</w:t>
            </w:r>
          </w:p>
        </w:tc>
      </w:tr>
      <w:tr>
        <w:tc>
          <w:tcPr>
            <w:tcW w:type="dxa" w:w="1361"/>
          </w:tcPr>
          <w:p>
            <w:pPr>
              <w:spacing w:after="40"/>
              <w:jc w:val="both"/>
            </w:pPr>
            <w:r/>
            <w:r>
              <w:rPr>
                <w:sz w:val="18"/>
              </w:rPr>
              <w:t>6.10.2026</w:t>
            </w:r>
          </w:p>
        </w:tc>
        <w:tc>
          <w:tcPr>
            <w:tcW w:type="dxa" w:w="7427"/>
          </w:tcPr>
          <w:p>
            <w:pPr>
              <w:spacing w:after="40"/>
              <w:jc w:val="both"/>
            </w:pPr>
            <w:r/>
            <w:r>
              <w:rPr>
                <w:sz w:val="18"/>
              </w:rPr>
              <w:t>Secção transversal sobre a Lei da Saúde Animal, Regulamento (UE) 2016/429, que enquadra os pontos 01, 02 e 09. Observações 02 em terceira versão, com o alerta reduzido ao essencial e o enquadramento no Decreto-Lei n.º 276/2001 e na Lei da Saúde Animal.</w:t>
            </w:r>
          </w:p>
        </w:tc>
      </w:tr>
      <w:tr>
        <w:tc>
          <w:tcPr>
            <w:tcW w:type="dxa" w:w="1361"/>
          </w:tcPr>
          <w:p>
            <w:pPr>
              <w:spacing w:after="40"/>
              <w:jc w:val="both"/>
            </w:pPr>
            <w:r/>
            <w:r>
              <w:rPr>
                <w:sz w:val="18"/>
              </w:rPr>
              <w:t>6.10.2026</w:t>
            </w:r>
          </w:p>
        </w:tc>
        <w:tc>
          <w:tcPr>
            <w:tcW w:type="dxa" w:w="7427"/>
          </w:tcPr>
          <w:p>
            <w:pPr>
              <w:spacing w:after="40"/>
              <w:jc w:val="both"/>
            </w:pPr>
            <w:r/>
            <w:r>
              <w:rPr>
                <w:sz w:val="18"/>
              </w:rPr>
              <w:t>Observações 02 em segunda versão, em linguagem corrente e em registo de dúvida, a pedido. A primeira versão fica no processo. Ambas assentam na fundamentação deste ponto 02, que não foi alterada.</w:t>
            </w:r>
          </w:p>
        </w:tc>
      </w:tr>
      <w:tr>
        <w:tc>
          <w:tcPr>
            <w:tcW w:type="dxa" w:w="1361"/>
          </w:tcPr>
          <w:p>
            <w:pPr>
              <w:spacing w:after="40"/>
              <w:jc w:val="both"/>
            </w:pPr>
            <w:r/>
            <w:r>
              <w:rPr>
                <w:sz w:val="18"/>
              </w:rPr>
              <w:t>6.10.2026</w:t>
            </w:r>
          </w:p>
        </w:tc>
        <w:tc>
          <w:tcPr>
            <w:tcW w:type="dxa" w:w="7427"/>
          </w:tcPr>
          <w:p>
            <w:pPr>
              <w:spacing w:after="40"/>
              <w:jc w:val="both"/>
            </w:pPr>
            <w:r/>
            <w:r>
              <w:rPr>
                <w:sz w:val="18"/>
              </w:rPr>
              <w:t>Correção ao contributo interno de 5.10.2026: o seu ponto 5.4 afirmava que a venda de animais em feiras e no comércio não sedentário ficava sem requisitos de bem-estar. O n.º 6 do art.º 35.º do Decreto-Lei n.º 276/2001 proíbe a venda ambulante de animais de companhia e o mesmo artigo fixa as condições da venda em feiras e mercados, com mera comunicação prévia à câmara para vistoria pelo médico veterinário municipal. Não há lacuna, há falta de articulação. O tema passou ao ponto 06 desta série.</w:t>
            </w:r>
          </w:p>
        </w:tc>
      </w:tr>
    </w:tbl>
    <w:p>
      <w:pPr>
        <w:spacing w:after="8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