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16"/>
        </w:rPr>
        <w:t>NOTA JURÍDICA</w:t>
      </w:r>
    </w:p>
    <w:p>
      <w:pPr>
        <w:spacing w:before="0" w:after="40" w:line="293" w:lineRule="auto"/>
      </w:pPr>
      <w:r>
        <w:rPr>
          <w:rFonts w:ascii="Aptos" w:hAnsi="Aptos" w:cs="Aptos" w:eastAsia="Aptos"/>
          <w:b/>
          <w:i w:val="0"/>
          <w:color w:val="35506B"/>
          <w:sz w:val="30"/>
        </w:rPr>
        <w:t>Titularidade dos gatos em programas CED</w:t>
      </w:r>
    </w:p>
    <w:p>
      <w:pPr>
        <w:spacing w:before="0" w:after="80" w:line="293" w:lineRule="auto"/>
      </w:pPr>
      <w:r>
        <w:rPr>
          <w:rFonts w:ascii="Aptos" w:hAnsi="Aptos" w:cs="Aptos" w:eastAsia="Aptos"/>
          <w:b w:val="0"/>
          <w:i w:val="0"/>
          <w:color w:val="7C8894"/>
          <w:sz w:val="18"/>
        </w:rPr>
        <w:t>O titular é o município promotor do programa, não o cuidador da colónia   ·   DGAV, outubro de 2026</w:t>
      </w:r>
    </w:p>
    <w:p>
      <w:pPr>
        <w:pBdr>
          <w:bottom w:val="single" w:sz="6" w:space="1" w:color="A9C2D8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/>
          <w:i w:val="0"/>
          <w:color w:val="2B2B2B"/>
          <w:sz w:val="20"/>
        </w:rPr>
        <w:t>Conclusão.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titularidade é do </w:t>
      </w:r>
      <w:r>
        <w:rPr>
          <w:rFonts w:ascii="Aptos" w:hAnsi="Aptos" w:cs="Aptos" w:eastAsia="Aptos"/>
          <w:b/>
          <w:i w:val="0"/>
          <w:color w:val="2B2B2B"/>
          <w:sz w:val="20"/>
        </w:rPr>
        <w:t>município promotor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. O cuidador é </w:t>
      </w:r>
      <w:r>
        <w:rPr>
          <w:rFonts w:ascii="Aptos" w:hAnsi="Aptos" w:cs="Aptos" w:eastAsia="Aptos"/>
          <w:b/>
          <w:i w:val="0"/>
          <w:color w:val="2B2B2B"/>
          <w:sz w:val="20"/>
        </w:rPr>
        <w:t>detentor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— possuidor precário —, na aceção da al. a) do art.º 3.º do Decreto-Lei n.º 82/2019, de 27 de junho. Resulta da articulação deste com o art.º 4.º da Lei n.º 27/2016, de 23 de agosto, e o art.º 9.º da Portaria n.º 146/2017, de 26 de abril.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1.  </w:t>
      </w:r>
      <w:r>
        <w:rPr>
          <w:rFonts w:ascii="Aptos" w:hAnsi="Aptos" w:cs="Aptos" w:eastAsia="Aptos"/>
          <w:b/>
          <w:i w:val="0"/>
          <w:color w:val="35506B"/>
          <w:sz w:val="21"/>
        </w:rPr>
        <w:t>O CED é atividade pública, executada pelo município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art.º 4.º da Lei n.º 27/2016 dispõe que «O Estado, por razões de saúde pública, assegura, por intermédio dos centros de recolha oficial de animais, […] a concretização de programas captura, esterilização, devolução (CED) para gatos». A colónia só existe por ato administrativo: as câmaras municipais, «sob parecer do médico veterinário municipal», autorizam «a manutenção, em locais especialmente designados para o efeito, de colónias de gatos» — n.º 1 do art.º 9.º da Portaria n.º 146/2017. O programa pode ser proposto por organização de proteção animal, mas é a câmara que lhe atribui a gestão (n.º 2): gestão delegada não é titularidade.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2.  </w:t>
      </w:r>
      <w:r>
        <w:rPr>
          <w:rFonts w:ascii="Aptos" w:hAnsi="Aptos" w:cs="Aptos" w:eastAsia="Aptos"/>
          <w:b/>
          <w:i w:val="0"/>
          <w:color w:val="35506B"/>
          <w:sz w:val="21"/>
        </w:rPr>
        <w:t>A lei designa o titular do registo nestes casos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percurso do animal CED está desenhado na lei e desemboca na norma que fixa o titular. O capturado passa obrigatoriamente pelo centro de recolha oficial — «são entregues nos CRO para verificação da sua aptidão», al. d) do n.º 4 do art.º 9.º da Portaria — e, não sendo reclamado, opera a presunção legal de abandono do n.º 1 do art.º 3.º da Lei n.º 27/2016. E então: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Os animais que sejam recolhidos num Centro de Recolha Oficial (CRO) e que não sejam reclamados pelos seus proprietários devem ser registados no SIAC em nome do titular desse CRO, após o período de 15 dias previsto no n.º 4 do artigo 8.º da Portaria n.º 146/2017, de 26 de abril.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n.º 5 do art.º 11.º do Decreto-Lei n.º 82/2019, de 27 de junho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norma é imperativa, e o titular do CRO é a câmara municipal. Como a al. e) do n.º 4 do art.º 9.º da Portaria impõe que os capturados sejam «registados e identificados eletronicamente», o gato CED é necessariamente animal registado, e o registo efetua-se «em nome do respetivo titular» (n.º 1 do art.º 9.º do Decreto-Lei n.º 82/2019). Nenhuma norma vigente designa o cuidador como titular nem afasta a do n.º 5 do art.º 11.º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município pode ser titular desde o art.º 425.º da Lei n.º 2/2020, de 31 de março, que no n.º 5 do art.º 9.º passou a admitir «as pessoas singulares ou coletivas». E o n.º 2 do art.º 17.º isenta de taxa «os animais de companhia recolhidos pelos CRO […] que sejam registados em seu nome»: não se isenta de taxa um registo que não se admite.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3.  </w:t>
      </w:r>
      <w:r>
        <w:rPr>
          <w:rFonts w:ascii="Aptos" w:hAnsi="Aptos" w:cs="Aptos" w:eastAsia="Aptos"/>
          <w:b/>
          <w:i w:val="0"/>
          <w:color w:val="35506B"/>
          <w:sz w:val="21"/>
        </w:rPr>
        <w:t>O cuidador é detentor, não titular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a) «Detentor», a pessoa singular ou coletiva que se encontre na situação de possuidor precário, nos termos previstos no artigo 1253.º do Código Civil, de animal de companhia […];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f) «Titular de animal de companhia», o proprietário ou o possuidor, quer se trate de pessoa singular ou coletiva, que seja responsável pelo animal de companhia, independentemente da finalidade com que o detém, e cuja posse faça presumir a propriedade e em cujo nome deve efetuar-se o registo da titularidade do animal de companhia no SIAC […]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als. a) e f) do art.º 3.º do Decreto-Lei n.º 82/2019, na redação da Lei n.º 2/2020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remissão para o art.º 1253.º resolve a questão. São possuidores precários, nos termos da sua al. c), «os representantes ou mandatários do possuidor e, de um modo geral, todos os que possuem em nome de outrem». O cuidador exerce o poder de facto dentro de um programa autorizado pela câmara, consta do plano de gestão da colónia e está sujeito à supervisão do médico veterinário municipal — al. a) do n.º 4 e n.º 5 do art.º 9.º da Portaria. Possui em nome de outrem, e falta-lhe por isso o pressuposto da al. f): a posse que faça presumir a propriedade.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4.  </w:t>
      </w:r>
      <w:r>
        <w:rPr>
          <w:rFonts w:ascii="Aptos" w:hAnsi="Aptos" w:cs="Aptos" w:eastAsia="Aptos"/>
          <w:b/>
          <w:i w:val="0"/>
          <w:color w:val="35506B"/>
          <w:sz w:val="21"/>
        </w:rPr>
        <w:t>O poder de recolha confirma quem é o titular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n.º 9 do art.º 9.º da Portaria n.º 146/2017 permite à câmara, verificado o incumprimento de qualquer dos requisitos do n.º 4, «proceder à recolha dos animais para o CRO».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Administração não dispõe de poder de apreensão definitiva de coisa alheia sem título de ablação e sem indemnização. Se os gatos fossem do cuidador, o n.º 9 seria inválido; lido como a retoma, pela câmara, da detenção material de animais de que é titular, é lícito.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5.  </w:t>
      </w:r>
      <w:r>
        <w:rPr>
          <w:rFonts w:ascii="Aptos" w:hAnsi="Aptos" w:cs="Aptos" w:eastAsia="Aptos"/>
          <w:b/>
          <w:i w:val="0"/>
          <w:color w:val="35506B"/>
          <w:sz w:val="21"/>
        </w:rPr>
        <w:t>Objeções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«As despesas são da entidade promotora, logo os animais são dela.»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custeio não é título de aquisição. A Portaria distingue a câmara que autoriza (n.º 1), a entidade responsável (n.º 4) e a promotora que custeia (n.º 8), e a nenhuma atribui titularidade — nem o poderia, por ser matéria de lei e não de regulamento.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«O gato errante é coisa sem dono e quem o toma adquire-o por ocupação.»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gato CED é capturado ao abrigo de um programa público, entregue no CRO por imposição legal, sujeito a uma presunção de abandono que lhe fixa o destino por lei, e registado no SIAC. Não é coisa sem dono: o n.º 3 do art.º 389.º do Código Penal trata como animais de companhia os sujeitos a registo no SIAC mesmo em estado de abandono ou errância.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«Quem cuida responde, logo é titular.»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n.º 1 do art.º 493.º do Código Civil faz responder «quem tiver assumido o encargo da vigilância de quaisquer animais», seja ou não proprietário: a responsabilidade nasce do controlo de facto, a titularidade do registo.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Decorre deste entendimento que o dever de identificação e registo recai sobre o município e que o cuidador, como detentor, fica vinculado apenas à comunicação prevista no n.º 2 do art.º 16.º do Decreto-Lei n.º 82/2019.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/>
          <w:i w:val="0"/>
          <w:color w:val="2B2B2B"/>
          <w:sz w:val="20"/>
        </w:rPr>
        <w:t>Deduções.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regime é assimétrico: o n.º 9 do art.º 9.º da Portaria dá à câmara o poder sobre os animais e o n.º 1 do art.º 493.º do Código Civil deixa o risco com quem os alimenta. É essa assimetria que alimenta a controvérsia. Não há jurisprudência localizada.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6"/>
      </w:rPr>
    </w:r>
    <w:fldSimple w:instr="PAGE">
      <w:r>
        <w:rPr>
          <w:sz w:val="16"/>
          <w:color w:val="7C8894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5"/>
      </w:rPr>
      <w:t>Titularidade dos gatos em programas CED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cs="Aptos" w:eastAsia="Apto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