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25"/>
        </w:rPr>
        <w:t>Estabelecimentos de comércio a retalho de animais de companhia</w:t>
      </w:r>
    </w:p>
    <w:p>
      <w:pPr>
        <w:spacing w:after="320"/>
      </w:pPr>
      <w:r>
        <w:rPr>
          <w:i/>
          <w:sz w:val="19"/>
        </w:rPr>
        <w:t>Observações ao projeto de DL das atividades económicas (DL 405/XXV/2026, versão de 25.9.2026), que se dão à consideração.</w:t>
      </w:r>
    </w:p>
    <w:p>
      <w:r>
        <w:t>A atividade consta do n.º 4 do artigo 16.º do anexo, sujeita a comunicação prévia. Na linha correspondente do Anexo II figuram a câmara municipal como entidade coordenadora e a Direção-Geral da Defesa do Consumidor, Comércio e Serviços como entidade notificada, sem entidades públicas consultadas. Neste procedimento o título é emitido automaticamente com a apresentação do pedido, nos termos do n.º 3 do artigo 29.º.</w:t>
      </w:r>
    </w:p>
    <w:p>
      <w:r>
        <w:t>Hoje a atividade rege-se pelo Decreto-Lei n.º 10/2015, de 16 de janeiro, por remissão expressa do n.º 1 do artigo 3.º do Decreto-Lei n.º 276/2001, de 17 de outubro, sendo neste último que estão os requisitos de detenção dos animais destinados a venda. Revogado o Decreto-Lei n.º 10/2015 pela alínea j) do n.º 1 do artigo 8.º, a matéria transita para o presente diploma sem intervenção da DGAV, que a alínea x) do n.º 1 do artigo 2.º do Decreto-Lei n.º 276/2001 identifica como autoridade competente.</w:t>
      </w:r>
    </w:p>
    <w:p>
      <w:r>
        <w:t>Acresce o que se aproxima. A partir de 31 de agosto de 2028 estes estabelecimentos são «estabelecimentos de venda» na aceção da alínea q) do artigo 4.º do Regulamento (UE) 2026/1818, e o artigo 9.º obriga o operador a notificar a autoridade competente quanto a cada estabelecimento, com indicação da localização, do tipo, das espécies e da capacidade, e essa autoridade a manter um registo de estabelecimentos. Sem intervenção no licenciamento, a DGAV não terá como reunir a informação para constituir esse registo.</w:t>
      </w:r>
    </w:p>
    <w:p>
      <w:r>
        <w:t>Dá-se à consideração, em alternativa, a passagem da atividade ao procedimento de comunicação com prazo, no n.º 3 do artigo 16.º, com a DGAV como entidade pública consultada, única via que permite pronúncia prévia, podendo aproveitar-se a formulação que o n.º 2 do artigo 54.º do anexo já usa para a pecuária; ou, mantendo-se a comunicação prévia, a simples inclusão da DGAV entre as entidades notificadas da linha respetiva do Anexo II, que assegura apenas o conhecimento dos estabelecimentos, mas é de aplicação imediata e sem custo para o operador.</w:t>
      </w:r>
    </w:p>
    <w:p>
      <w:r>
        <w:t>Observa-se, por último, que o CAE 47762 abrange estabelecimentos que não detêm animais vivos, pelo que qualquer exigência adicional deverá distinguir essas situações.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