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Animais de companhia e atividade pecuária</w:t>
      </w:r>
    </w:p>
    <w:p>
      <w:pPr>
        <w:spacing w:after="320"/>
      </w:pPr>
      <w:r>
        <w:rPr>
          <w:i/>
          <w:sz w:val="19"/>
        </w:rPr>
        <w:t>Observações ao projeto de DL das atividades económicas (versão de 25.9.2026), à consideração.</w:t>
      </w:r>
    </w:p>
    <w:p>
      <w:r>
        <w:t>Na alínea c) do artigo 48.º do anexo, a definição de «atividade pecuária» exclui a apicultura. Na versão anterior excluía também os animais de companhia: a expressão foi eliminada em alteração registada de 21 de setembro de 2026, ficando a sequência «com exceção da apicultura eem:».</w:t>
      </w:r>
    </w:p>
    <w:p>
      <w:r>
        <w:t>A exclusão vinha do regime em vigor. A alínea a) do n.º 3 do artigo 1.º do Decreto-Lei n.º 81/2013 afasta do seu âmbito a apicultura, CAE 01491, e os animais de companhia, CAE 01493. No projeto subsiste a primeira e desaparece a segunda.</w:t>
      </w:r>
    </w:p>
    <w:p>
      <w:r>
        <w:t>A alínea b) do mesmo artigo mantém a referência à «produção pecuária de animais destinados a animais de companhia», vinda do artigo 2.º daquele decreto-lei. Sem a exclusão que a acompanhava, a detenção de leporídeos ou de pequenos roedores para fins de companhia pode ser lida como atividade pecuária, e como detenção caseira sujeita a registo no SNIRA. Acresce que o n.º 2 do artigo 1.º do Decreto-Lei n.º 276/2001 exclui «as espécies de pecuária», sendo o seu artigo 26.º que fixa as medidas mínimas das caixas para pequenos roedores e coelhos.</w:t>
      </w:r>
    </w:p>
    <w:p>
      <w:r>
        <w:t>Dá-se à consideração que se esclareça o alcance pretendido e que, não havendo intenção de alterar o enquadramento dos animais de companhia, se reponha a exclusão ou se adote critério que ressalve a detenção para fins exclusivos de companhia. Fica também à consideração a correção da sequência «eem».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