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Deferimento tácito em atividades com animais vivos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O preâmbulo assume consagrar como regra o deferimento tácito, e o n.º 3 do artigo 25.º concretiza-o: não havendo pronúncia no prazo do Anexo III, considera-se favorável à pretensão do requerente. Nas consultas sem prazo próprio, esse prazo é de 20 dias.</w:t>
      </w:r>
    </w:p>
    <w:p>
      <w:r>
        <w:t>A dúvida que deixamos é se a regra é adequada quando a atividade envolve a detenção de animais vivos.</w:t>
      </w:r>
    </w:p>
    <w:p>
      <w:r>
        <w:t>Na legislação vigente, quando a decisão respeita à detenção de animais, o legislador afastou-a expressamente. O n.º 2 do artigo 3.º-D do Decreto-Lei n.º 276/2001 dispõe que, decorridos 60 dias sobre o pedido devidamente instruído, e independentemente da visita de controlo, «não há lugar a deferimento tácito».</w:t>
      </w:r>
    </w:p>
    <w:p>
      <w:r>
        <w:t>No mesmo sentido, a partir de 31 de agosto de 2034 o artigo 10.º do Regulamento (UE) 2026/1818 só permite colocar cães ou gatos no mercado após aprovação do estabelecimento de criação pela autoridade competente, mediante inspeção no local.</w:t>
      </w:r>
    </w:p>
    <w:p>
      <w:r>
        <w:t>Acresce que o artigo 31.º, ao enumerar as causas de indeferimento, não contempla qualquer pronúncia em matéria de saúde ou de bem-estar animal. Ficamos ao dispor para ajudar na clarificação.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