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Desde 1 de outubro de 2020, o artigo 1.º-A da Lei n.º 92/95, aditado pela Lei n.º 39/2020, impõe aos municípios o </w:t>
      </w:r>
      <w:r>
        <w:rPr>
          <w:rFonts w:ascii="Aptos" w:hAnsi="Aptos" w:cs="Aptos" w:eastAsia="Aptos"/>
          <w:b/>
          <w:i w:val="0"/>
          <w:color w:val="2B2B2B"/>
          <w:sz w:val="20"/>
        </w:rPr>
        <w:t>dever</w:t>
      </w:r>
      <w:r>
        <w:rPr>
          <w:rFonts w:ascii="Aptos" w:hAnsi="Aptos" w:cs="Aptos" w:eastAsia="Aptos"/>
          <w:b w:val="0"/>
          <w:i w:val="0"/>
          <w:color w:val="2B2B2B"/>
          <w:sz w:val="20"/>
        </w:rPr>
        <w:t xml:space="preserve"> de desencadear a recolha ou captura de animais havendo evidência de sinais de crimes de maus-tratos — poder autónomo, que não depende de fogo, de habitação nem de registo do alojamento.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p>
      <w:pPr>
        <w:spacing w:before="0" w:after="100" w:line="293" w:lineRule="auto"/>
        <w:ind w:left="408" w:hanging="408"/>
        <w:jc w:val="both"/>
      </w:pPr>
      <w:r>
        <w:rPr>
          <w:rFonts w:ascii="Aptos" w:hAnsi="Aptos" w:cs="Aptos" w:eastAsia="Aptos"/>
          <w:b/>
          <w:i w:val="0"/>
          <w:color w:val="5C7891"/>
          <w:sz w:val="20"/>
        </w:rPr>
        <w:t>13.</w:t>
        <w:tab/>
      </w:r>
      <w:r>
        <w:rPr>
          <w:rFonts w:ascii="Aptos" w:hAnsi="Aptos" w:cs="Aptos" w:eastAsia="Aptos"/>
          <w:b w:val="0"/>
          <w:i w:val="0"/>
          <w:color w:val="2B2B2B"/>
          <w:sz w:val="20"/>
        </w:rPr>
        <w:t xml:space="preserve">O </w:t>
      </w:r>
      <w:r>
        <w:rPr>
          <w:rFonts w:ascii="Aptos" w:hAnsi="Aptos" w:cs="Aptos" w:eastAsia="Aptos"/>
          <w:b/>
          <w:i w:val="0"/>
          <w:color w:val="2B2B2B"/>
          <w:sz w:val="20"/>
        </w:rPr>
        <w:t>título de acesso</w:t>
      </w:r>
      <w:r>
        <w:rPr>
          <w:rFonts w:ascii="Aptos" w:hAnsi="Aptos" w:cs="Aptos" w:eastAsia="Aptos"/>
          <w:b w:val="0"/>
          <w:i w:val="0"/>
          <w:color w:val="2B2B2B"/>
          <w:sz w:val="20"/>
        </w:rPr>
        <w:t xml:space="preserve"> à exploração de um alojamento foi municipal apenas entre 17 de outubro de 2001 e 16 de dezembro de 2003 — licença de utilização emitida pela câmara, nos termos do Decreto-Lei n.º 370/99. Desde 17 de dezembro de 2003 é do director-geral, e desde 12 de dezembro de 2012 basta a mera comunicação prévia à DGAV. </w:t>
      </w:r>
      <w:r>
        <w:rPr>
          <w:rFonts w:ascii="Aptos" w:hAnsi="Aptos" w:cs="Aptos" w:eastAsia="Aptos"/>
          <w:b/>
          <w:i w:val="0"/>
          <w:color w:val="2B2B2B"/>
          <w:sz w:val="20"/>
        </w:rPr>
        <w:t>Não existe hoje autorização municipal para instalar um alojamento.</w:t>
      </w:r>
      <w:r>
        <w:rPr>
          <w:rFonts w:ascii="Aptos" w:hAnsi="Aptos" w:cs="Aptos" w:eastAsia="Aptos"/>
          <w:b w:val="0"/>
          <w:i w:val="0"/>
          <w:color w:val="2B2B2B"/>
          <w:sz w:val="20"/>
        </w:rPr>
        <w:t xml:space="preserve"> Capítulo 13.4.</w:t>
      </w:r>
    </w:p>
    <w:p>
      <w:pPr>
        <w:spacing w:before="0" w:after="100" w:line="293" w:lineRule="auto"/>
        <w:ind w:left="408" w:hanging="408"/>
        <w:jc w:val="both"/>
      </w:pPr>
      <w:r>
        <w:rPr>
          <w:rFonts w:ascii="Aptos" w:hAnsi="Aptos" w:cs="Aptos" w:eastAsia="Aptos"/>
          <w:b/>
          <w:i w:val="0"/>
          <w:color w:val="5C7891"/>
          <w:sz w:val="20"/>
        </w:rPr>
        <w:t>14.</w:t>
        <w:tab/>
      </w:r>
      <w:r>
        <w:rPr>
          <w:rFonts w:ascii="Aptos" w:hAnsi="Aptos" w:cs="Aptos" w:eastAsia="Aptos"/>
          <w:b/>
          <w:i w:val="0"/>
          <w:color w:val="2B2B2B"/>
          <w:sz w:val="20"/>
        </w:rPr>
        <w:t>Os dois regimes foram separados por acto positivo, no mesmo Diário da República.</w:t>
      </w:r>
      <w:r>
        <w:rPr>
          <w:rFonts w:ascii="Aptos" w:hAnsi="Aptos" w:cs="Aptos" w:eastAsia="Aptos"/>
          <w:b w:val="0"/>
          <w:i w:val="0"/>
          <w:color w:val="2B2B2B"/>
          <w:sz w:val="20"/>
        </w:rPr>
        <w:t xml:space="preserve"> No n.º 290, de 17 de dezembro de 2003, o legislador retirou às câmaras o título de acesso dos alojamentos (DL n.º 315/2003), criou os limites por fogo a cargo das câmaras (DL n.º 314/2003) e excluiu as fracções autónomas da hospedagem sem fins lucrativos (al. p)). A actividade subiu para a autoridade nacional no mesmo dia em que a densidade doméstica desceu para o município. O argumento deixa de assentar num silêncio e passa a assentar num desenho. Capítulo 14.5.</w:t>
      </w:r>
    </w:p>
    <w:p>
      <w:pPr>
        <w:spacing w:before="0" w:after="100" w:line="293" w:lineRule="auto"/>
        <w:ind w:left="408" w:hanging="408"/>
        <w:jc w:val="both"/>
      </w:pPr>
      <w:r>
        <w:rPr>
          <w:rFonts w:ascii="Aptos" w:hAnsi="Aptos" w:cs="Aptos" w:eastAsia="Aptos"/>
          <w:b/>
          <w:i w:val="0"/>
          <w:color w:val="5C7891"/>
          <w:sz w:val="20"/>
        </w:rPr>
        <w:t>15.</w:t>
        <w:tab/>
      </w:r>
      <w:r>
        <w:rPr>
          <w:rFonts w:ascii="Aptos" w:hAnsi="Aptos" w:cs="Aptos" w:eastAsia="Aptos"/>
          <w:b w:val="0"/>
          <w:i w:val="0"/>
          <w:color w:val="2B2B2B"/>
          <w:sz w:val="20"/>
        </w:rPr>
        <w:t xml:space="preserve">A </w:t>
      </w:r>
      <w:r>
        <w:rPr>
          <w:rFonts w:ascii="Aptos" w:hAnsi="Aptos" w:cs="Aptos" w:eastAsia="Aptos"/>
          <w:b/>
          <w:i w:val="0"/>
          <w:color w:val="2B2B2B"/>
          <w:sz w:val="20"/>
        </w:rPr>
        <w:t>única doutrina</w:t>
      </w:r>
      <w:r>
        <w:rPr>
          <w:rFonts w:ascii="Aptos" w:hAnsi="Aptos" w:cs="Aptos" w:eastAsia="Aptos"/>
          <w:b w:val="0"/>
          <w:i w:val="0"/>
          <w:color w:val="2B2B2B"/>
          <w:sz w:val="20"/>
        </w:rPr>
        <w:t xml:space="preserve"> que trata o artigo 3.º na perspetiva de quem o fiscaliza arruma-o sob a epígrafe «Limite de cães e gatos por habitação», descreve a contraordenação da al. c) do n.º 3 do artigo 14.º como «exceder o n.º de animais por fogo urbano», e no seu levantamento das contraordenações do Decreto-Lei n.º 276/2001 não inclui uma única entrada sobre excesso de animais em alojamento. Categorias construídas sem este problema em vista, e organizadas segundo a separação aqui defendida. Capítulo 11.4.</w:t>
      </w:r>
    </w:p>
    <w:p>
      <w:pPr>
        <w:spacing w:before="0" w:after="100" w:line="293" w:lineRule="auto"/>
        <w:ind w:left="408" w:hanging="408"/>
        <w:jc w:val="both"/>
      </w:pPr>
      <w:r>
        <w:rPr>
          <w:rFonts w:ascii="Aptos" w:hAnsi="Aptos" w:cs="Aptos" w:eastAsia="Aptos"/>
          <w:b/>
          <w:i w:val="0"/>
          <w:color w:val="5C7891"/>
          <w:sz w:val="20"/>
        </w:rPr>
        <w:t>16.</w:t>
        <w:tab/>
      </w:r>
      <w:r>
        <w:rPr>
          <w:rFonts w:ascii="Aptos" w:hAnsi="Aptos" w:cs="Aptos" w:eastAsia="Aptos"/>
          <w:b w:val="0"/>
          <w:i w:val="0"/>
          <w:color w:val="2B2B2B"/>
          <w:sz w:val="20"/>
        </w:rPr>
        <w:t xml:space="preserve">A remoção dos animais pela autoridade municipal tem </w:t>
      </w:r>
      <w:r>
        <w:rPr>
          <w:rFonts w:ascii="Aptos" w:hAnsi="Aptos" w:cs="Aptos" w:eastAsia="Aptos"/>
          <w:b/>
          <w:i w:val="0"/>
          <w:color w:val="2B2B2B"/>
          <w:sz w:val="20"/>
        </w:rPr>
        <w:t>duas bases legais expressas e independentes</w:t>
      </w:r>
      <w:r>
        <w:rPr>
          <w:rFonts w:ascii="Aptos" w:hAnsi="Aptos" w:cs="Aptos" w:eastAsia="Aptos"/>
          <w:b w:val="0"/>
          <w:i w:val="0"/>
          <w:color w:val="2B2B2B"/>
          <w:sz w:val="20"/>
        </w:rPr>
        <w:t xml:space="preserve">, em dois diplomas: o n.º 5 do artigo 3.º do Decreto-Lei n.º 314/2003, em que é a própria câmara que notifica após vistoria conjunta; e o n.º 6 do artigo 3.º-G do Decreto-Lei n.º 276/2001 — «Compete às câmaras municipais executar as medidas necessárias ao cumprimento da decisão […], nomeadamente proceder, quando necessário, à recolha dos animais» —, em que a câmara executa decisão do diretor-geral. A primeira é autónoma, a segunda não. Determinar o </w:t>
      </w:r>
      <w:r>
        <w:rPr>
          <w:rFonts w:ascii="Aptos" w:hAnsi="Aptos" w:cs="Aptos" w:eastAsia="Aptos"/>
          <w:b/>
          <w:i w:val="0"/>
          <w:color w:val="2B2B2B"/>
          <w:sz w:val="20"/>
        </w:rPr>
        <w:t>encerramento</w:t>
      </w:r>
      <w:r>
        <w:rPr>
          <w:rFonts w:ascii="Aptos" w:hAnsi="Aptos" w:cs="Aptos" w:eastAsia="Aptos"/>
          <w:b w:val="0"/>
          <w:i w:val="0"/>
          <w:color w:val="2B2B2B"/>
          <w:sz w:val="20"/>
        </w:rPr>
        <w:t xml:space="preserve"> do alojamento, isso, é do diretor-geral (n.º 1 do artigo 3.º-G), e nunca da câmara — salvo entre 30.1.2019 e 7.8.2019, por efeito do Decreto-Lei n.º 20/2019, cuja vigência cessou. Capítulo 9.5.</w:t>
      </w:r>
    </w:p>
    <w:p>
      <w:pPr>
        <w:spacing w:before="0" w:after="100" w:line="293" w:lineRule="auto"/>
        <w:ind w:left="408" w:hanging="408"/>
        <w:jc w:val="both"/>
      </w:pPr>
      <w:r>
        <w:rPr>
          <w:rFonts w:ascii="Aptos" w:hAnsi="Aptos" w:cs="Aptos" w:eastAsia="Aptos"/>
          <w:b/>
          <w:i w:val="0"/>
          <w:color w:val="5C7891"/>
          <w:sz w:val="20"/>
        </w:rPr>
        <w:t>17.</w:t>
        <w:tab/>
      </w:r>
      <w:r>
        <w:rPr>
          <w:rFonts w:ascii="Aptos" w:hAnsi="Aptos" w:cs="Aptos" w:eastAsia="Aptos"/>
          <w:b/>
          <w:i w:val="0"/>
          <w:color w:val="2B2B2B"/>
          <w:sz w:val="20"/>
        </w:rPr>
        <w:t>A execução é o ponto fraco do sistema, e a causa é institucional.</w:t>
      </w:r>
      <w:r>
        <w:rPr>
          <w:rFonts w:ascii="Aptos" w:hAnsi="Aptos" w:cs="Aptos" w:eastAsia="Aptos"/>
          <w:b w:val="0"/>
          <w:i w:val="0"/>
          <w:color w:val="2B2B2B"/>
          <w:sz w:val="20"/>
        </w:rPr>
        <w:t xml:space="preserve"> Quem propõe a medida — o médico veterinário municipal — é autoridade sanitária veterinária concelhia com poderes conferidos pela autoridade nacional «a título pessoal, não delegável», que exerce «sem dependência hierárquica», mas apenas quando estejam em causa «prejuízos graves à saúde pública»; em tudo o mais «depende, hierárquica e disciplinarmente, do presidente da câmara» (n.ºs 2, 3 e 4 do artigo 2.º e n.º 1 do artigo 4.º do Decreto-Lei n.º 116/98). Nos abrigos sem registo, onde o fundamento próprio é o bem-estar animal, a blindagem não cobre o ato. Capítulo 9.5.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Não se localizou decisão judicial nem parecer publicado que resolva expressamente a questão. Localizou-se, porém, uma </w:t>
            </w:r>
            <w:r>
              <w:rPr>
                <w:rFonts w:ascii="Aptos" w:hAnsi="Aptos" w:cs="Aptos" w:eastAsia="Aptos"/>
                <w:b/>
                <w:i w:val="0"/>
                <w:color w:val="2B2B2B"/>
                <w:sz w:val="19"/>
              </w:rPr>
              <w:t>informação interna do gabinete jurídico do ICNF, I. P., de 16 de maio de 2022</w:t>
            </w:r>
            <w:r>
              <w:rPr>
                <w:rFonts w:ascii="Aptos" w:hAnsi="Aptos" w:cs="Aptos" w:eastAsia="Aptos"/>
                <w:b w:val="0"/>
                <w:i w:val="0"/>
                <w:color w:val="2B2B2B"/>
                <w:sz w:val="19"/>
              </w:rPr>
              <w:t xml:space="preserve">, que conclui no mesmo sentido deste estudo, por fundamentos diferentes, e um </w:t>
            </w:r>
            <w:r>
              <w:rPr>
                <w:rFonts w:ascii="Aptos" w:hAnsi="Aptos" w:cs="Aptos" w:eastAsia="Aptos"/>
                <w:b/>
                <w:i w:val="0"/>
                <w:color w:val="2B2B2B"/>
                <w:sz w:val="19"/>
              </w:rPr>
              <w:t>entendimento dos serviços do mesmo instituto em sentido contrário</w:t>
            </w:r>
            <w:r>
              <w:rPr>
                <w:rFonts w:ascii="Aptos" w:hAnsi="Aptos" w:cs="Aptos" w:eastAsia="Aptos"/>
                <w:b w:val="0"/>
                <w:i w:val="0"/>
                <w:color w:val="2B2B2B"/>
                <w:sz w:val="19"/>
              </w:rPr>
              <w:t xml:space="preserve"> (capítulos 12 e 6.8). A conclusão continua a ser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keepNext/>
        <w:spacing w:before="200" w:after="60" w:line="293" w:lineRule="auto"/>
      </w:pPr>
      <w:r>
        <w:rPr>
          <w:rFonts w:ascii="Aptos" w:hAnsi="Aptos" w:cs="Aptos" w:eastAsia="Aptos"/>
          <w:b/>
          <w:i w:val="0"/>
          <w:color w:val="5C7891"/>
          <w:sz w:val="19"/>
        </w:rPr>
        <w:t>6.8  Um entendimento administrativo documentado</w:t>
      </w:r>
    </w:p>
    <w:p>
      <w:pPr>
        <w:spacing w:before="0" w:after="140" w:line="293" w:lineRule="auto"/>
        <w:jc w:val="both"/>
      </w:pPr>
      <w:r>
        <w:rPr>
          <w:rFonts w:ascii="Aptos" w:hAnsi="Aptos" w:cs="Aptos" w:eastAsia="Aptos"/>
          <w:b w:val="0"/>
          <w:i w:val="0"/>
          <w:color w:val="2B2B2B"/>
          <w:sz w:val="20"/>
        </w:rPr>
        <w:t>Num documento interno de perguntas dos serviços do ICNF, I. P., sobre alojamentos, os serviços expõem o seu entendimento sobre a aplicação do artigo 3.º aos alojamentos, com e sem fins lucrativos. O ficheiro tem a data de 21 de dezembro de 2025, mas o conteúdo pressupõe ainda a competência daquele instituto, que cessou em 1 de julho de 2025, pelo que deve ser anterior. Este ponto não tem resposta jurídica: é a posição dos próprios serviços.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Não existe referência ao número máximo de animais a alojar em nenhuma das atualizações do D.L. n.º 267/2001 [sic], porque este contempla as dimensões mínimas para garantir o bem-estar animal, estando salvaguardadas as questões sanitárias pelo D.L. n.º 314/2003, de 17 de Dezembro;</w:t>
            </w:r>
          </w:p>
          <w:p>
            <w:pPr>
              <w:spacing w:before="0" w:after="80" w:line="293" w:lineRule="auto"/>
              <w:jc w:val="both"/>
            </w:pPr>
            <w:r>
              <w:rPr>
                <w:rFonts w:ascii="Aptos" w:hAnsi="Aptos" w:cs="Aptos" w:eastAsia="Aptos"/>
                <w:b w:val="0"/>
                <w:i/>
                <w:color w:val="2B2B2B"/>
                <w:sz w:val="19"/>
              </w:rPr>
              <w:t>O médico veterinário responsável pelo alojamento não deverá poder autorizar o alojamento de animais em número superior ao permitido pela autoridade sanitária veterinária concelhia em conjunto com a autoridade de saúde, além de poder existir conflito de interesses financeiros para este;</w:t>
            </w:r>
          </w:p>
          <w:p>
            <w:pPr>
              <w:spacing w:before="0" w:after="0" w:line="293" w:lineRule="auto"/>
              <w:jc w:val="both"/>
            </w:pPr>
            <w:r>
              <w:rPr>
                <w:rFonts w:ascii="Aptos" w:hAnsi="Aptos" w:cs="Aptos" w:eastAsia="Aptos"/>
                <w:b w:val="0"/>
                <w:i/>
                <w:color w:val="2B2B2B"/>
                <w:sz w:val="19"/>
              </w:rPr>
              <w:t>Consideramos que as regras de bem-estar animal definidas pelo D. L. n.º 276/2001 e as regras sanitárias definidas pelo D. L. 314/2003, são complementares e não autónomas.</w:t>
            </w:r>
          </w:p>
          <w:p>
            <w:pPr>
              <w:spacing w:before="120" w:after="0" w:line="293" w:lineRule="auto"/>
            </w:pPr>
            <w:r>
              <w:rPr>
                <w:rFonts w:ascii="Aptos" w:hAnsi="Aptos" w:cs="Aptos" w:eastAsia="Aptos"/>
                <w:b w:val="0"/>
                <w:i w:val="0"/>
                <w:color w:val="7C8894"/>
                <w:sz w:val="15"/>
              </w:rPr>
              <w:t>Serviços do ICNF, I. P., documento interno «Dúvidas alojamento animais», ponto 2.3 e considerandos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mesmos serviços propõem que o Decreto-Lei n.º 314/2003 seja revisto «para diferenciar os tipos de prédios urbanos e a sua lotação máxima», e sugerem que a autoridade sanitária veterinária nacional se pronuncie sobre a harmonização dos dois diplomas.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o elemento administrativo mais forte a favor da aplicação. Não discute a unidade de contagem do n.º 2 e lê o limite como limite do prédio urbano. A sua premissa sanitária tem resposta no próprio artigo 3.º: o n.º 1 aplica-se sempre ao alojamento registado (ver 9.2), pelo que as questões hígio-sanitárias ficam salvaguardadas sem o teto do n.º 2. A crítica ao médico veterinário responsável pelo alojamento é procedente, mas atinge a informação jurídica de 2022 tratada no capítulo 12, e não a tese deste estudo.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e resolução das questões interpretativas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Confirmação doutrinal, e de fonte operacional.</w:t>
            </w:r>
            <w:r>
              <w:rPr>
                <w:rFonts w:ascii="Aptos" w:hAnsi="Aptos" w:cs="Aptos" w:eastAsia="Aptos"/>
                <w:b w:val="0"/>
                <w:i w:val="0"/>
                <w:color w:val="2B2B2B"/>
                <w:sz w:val="20"/>
              </w:rPr>
              <w:t xml:space="preserve"> O único estudo que faz o levantamento das contraordenações desta matéria para uso da fiscalização descreve o tipo da al. c) do n.º 3 do artigo 14.º nestes termos: «Exceder o n.º de animais por </w:t>
            </w:r>
            <w:r>
              <w:rPr>
                <w:rFonts w:ascii="Aptos" w:hAnsi="Aptos" w:cs="Aptos" w:eastAsia="Aptos"/>
                <w:b/>
                <w:i w:val="0"/>
                <w:color w:val="2B2B2B"/>
                <w:sz w:val="20"/>
              </w:rPr>
              <w:t>fogo urbano</w:t>
            </w:r>
            <w:r>
              <w:rPr>
                <w:rFonts w:ascii="Aptos" w:hAnsi="Aptos" w:cs="Aptos" w:eastAsia="Aptos"/>
                <w:b w:val="0"/>
                <w:i w:val="0"/>
                <w:color w:val="2B2B2B"/>
                <w:sz w:val="20"/>
              </w:rPr>
              <w:t xml:space="preserve"> (3 cães ou quatro gatos, num máximo de 4 animais)», e indica como entidade instrutória a </w:t>
            </w:r>
            <w:r>
              <w:rPr>
                <w:rFonts w:ascii="Aptos" w:hAnsi="Aptos" w:cs="Aptos" w:eastAsia="Aptos"/>
                <w:b/>
                <w:i w:val="0"/>
                <w:color w:val="2B2B2B"/>
                <w:sz w:val="20"/>
              </w:rPr>
              <w:t>DGAV</w:t>
            </w:r>
            <w:r>
              <w:rPr>
                <w:rFonts w:ascii="Aptos" w:hAnsi="Aptos" w:cs="Aptos" w:eastAsia="Aptos"/>
                <w:b w:val="0"/>
                <w:i w:val="0"/>
                <w:color w:val="2B2B2B"/>
                <w:sz w:val="20"/>
              </w:rPr>
              <w:t xml:space="preserve"> — ao passo que a notificação para remoção do n.º 5, essa, atribui às câmaras municipais. É a mesma dissociação que aqui se descreve, feita por quem a tem de aplicar: </w:t>
            </w:r>
            <w:r>
              <w:rPr>
                <w:rFonts w:ascii="Aptos" w:hAnsi="Aptos" w:cs="Aptos" w:eastAsia="Aptos"/>
                <w:b/>
                <w:i w:val="0"/>
                <w:color w:val="2B2B2B"/>
                <w:sz w:val="20"/>
              </w:rPr>
              <w:t>pune a DGAV, remove o município</w:t>
            </w:r>
            <w:r>
              <w:rPr>
                <w:rFonts w:ascii="Aptos" w:hAnsi="Aptos" w:cs="Aptos" w:eastAsia="Aptos"/>
                <w:b w:val="0"/>
                <w:i w:val="0"/>
                <w:color w:val="2B2B2B"/>
                <w:sz w:val="20"/>
              </w:rPr>
              <w:t>. Ver 11.4.</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poder de remoção do n.º 5 do artigo 3.º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120" w:after="0" w:line="293" w:lineRule="auto"/>
            </w:pPr>
            <w:r>
              <w:rPr>
                <w:rFonts w:ascii="Aptos" w:hAnsi="Aptos" w:cs="Aptos" w:eastAsia="Aptos"/>
                <w:b w:val="0"/>
                <w:i w:val="0"/>
                <w:color w:val="7C8894"/>
                <w:sz w:val="15"/>
              </w:rPr>
              <w:t>N.º 5 do artigo 3.º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Sim, a câmara municipal pode notificar o titular de um alojamento registado — mas o fundamento tem de ser o n.º 1, e não o n.º 2.</w:t>
            </w:r>
            <w:r>
              <w:rPr>
                <w:rFonts w:ascii="Aptos" w:hAnsi="Aptos" w:cs="Aptos" w:eastAsia="Aptos"/>
                <w:b w:val="0"/>
                <w:i w:val="0"/>
                <w:color w:val="2B2B2B"/>
                <w:sz w:val="20"/>
              </w:rPr>
              <w:t xml:space="preserve"> O n.º 5 desencadeia-se pelo «não cumprimento do disposto nos números anteriores». O n.º 1 aplica-se a toda a gente, incluindo ao alojamento registado. O n.º 2 não tem, aí, campo operativo, por falta de fogo.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distinção não é académica: determina a fundamentação do ato. Uma notificação que invoque o excesso sobre quatro animais num alojamento registado é ilegal por erro nos pressupostos; uma que invoque a conspurcação ambiental ou o risco de doenças transmissíveis ao homem é legal, ainda que o alojamento esteja regularmente comunicado à DGAV.</w:t>
      </w:r>
    </w:p>
    <w:p>
      <w:pPr>
        <w:keepNext/>
        <w:spacing w:before="200" w:after="60" w:line="293" w:lineRule="auto"/>
      </w:pPr>
      <w:r>
        <w:rPr>
          <w:rFonts w:ascii="Aptos" w:hAnsi="Aptos" w:cs="Aptos" w:eastAsia="Aptos"/>
          <w:b/>
          <w:i w:val="0"/>
          <w:color w:val="5C7891"/>
          <w:sz w:val="19"/>
        </w:rPr>
        <w:t>A câmara não é estranha ao regime dos alojamentos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das competências atribuídas por lei a outras entidades, compete, em especial, à DGAV, aos médicos veterinários municipais, à Autoridade de Segurança Alimentar e Económica, ao ICNF, I. P., às câmaras municipais, à PM, à GNR, à PSP e, em geral, a todas as autoridades policiais assegurar a fiscalização do cumprimento das normas constantes do presente diploma.</w:t>
            </w:r>
          </w:p>
          <w:p>
            <w:pPr>
              <w:spacing w:before="120" w:after="0" w:line="293" w:lineRule="auto"/>
            </w:pPr>
            <w:r>
              <w:rPr>
                <w:rFonts w:ascii="Aptos" w:hAnsi="Aptos" w:cs="Aptos" w:eastAsia="Aptos"/>
                <w:b w:val="0"/>
                <w:i w:val="0"/>
                <w:color w:val="7C8894"/>
                <w:sz w:val="15"/>
              </w:rPr>
              <w:t>Artigo 66.º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objeção de que o município estaria a intrometer-se em matéria alheia improcede: o próprio diploma dos alojamentos o inclui, pelo nome, entre as entidades de fiscalização.</w:t>
      </w:r>
    </w:p>
    <w:p>
      <w:pPr>
        <w:keepNext/>
        <w:spacing w:before="200" w:after="60" w:line="293" w:lineRule="auto"/>
      </w:pPr>
      <w:r>
        <w:rPr>
          <w:rFonts w:ascii="Aptos" w:hAnsi="Aptos" w:cs="Aptos" w:eastAsia="Aptos"/>
          <w:b/>
          <w:i w:val="0"/>
          <w:color w:val="5C7891"/>
          <w:sz w:val="19"/>
        </w:rPr>
        <w:t>Dois limites formais e uma lacuna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Vistoria conjunta prévia.</w:t>
      </w:r>
      <w:r>
        <w:rPr>
          <w:rFonts w:ascii="Aptos" w:hAnsi="Aptos" w:cs="Aptos" w:eastAsia="Aptos"/>
          <w:b w:val="0"/>
          <w:i w:val="0"/>
          <w:color w:val="2B2B2B"/>
          <w:sz w:val="20"/>
        </w:rPr>
        <w:t xml:space="preserve"> A notificação sem vistoria do delegado de saúde </w:t>
      </w:r>
      <w:r>
        <w:rPr>
          <w:rFonts w:ascii="Aptos" w:hAnsi="Aptos" w:cs="Aptos" w:eastAsia="Aptos"/>
          <w:b/>
          <w:i w:val="0"/>
          <w:color w:val="2B2B2B"/>
          <w:sz w:val="20"/>
        </w:rPr>
        <w:t>e</w:t>
      </w:r>
      <w:r>
        <w:rPr>
          <w:rFonts w:ascii="Aptos" w:hAnsi="Aptos" w:cs="Aptos" w:eastAsia="Aptos"/>
          <w:b w:val="0"/>
          <w:i w:val="0"/>
          <w:color w:val="2B2B2B"/>
          <w:sz w:val="20"/>
        </w:rPr>
        <w:t xml:space="preserve"> do médico veterinário municipal é ato preterido de formalidade essencial.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Opção do detentor.</w:t>
      </w:r>
      <w:r>
        <w:rPr>
          <w:rFonts w:ascii="Aptos" w:hAnsi="Aptos" w:cs="Aptos" w:eastAsia="Aptos"/>
          <w:b w:val="0"/>
          <w:i w:val="0"/>
          <w:color w:val="2B2B2B"/>
          <w:sz w:val="20"/>
        </w:rPr>
        <w:t xml:space="preserve"> A remoção não é para o canil municipal por imposição: o detentor pode optar «por outro destino que reúna as condições estabelecidas pelo presente diploma». É medida de polícia sanitária, não apreensão.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Lacuna de articulação.</w:t>
      </w:r>
      <w:r>
        <w:rPr>
          <w:rFonts w:ascii="Aptos" w:hAnsi="Aptos" w:cs="Aptos" w:eastAsia="Aptos"/>
          <w:b w:val="0"/>
          <w:i w:val="0"/>
          <w:color w:val="2B2B2B"/>
          <w:sz w:val="20"/>
        </w:rPr>
        <w:t xml:space="preserve"> Nada obriga a câmara a articular-se com a DGAV antes de mandar retirar animais de um estabelecimento comunicado, nem a DGAV a informar a câmara de que o estabelecimento existe. Duas autoridades podem agir sobre a mesma instalação sem norma de coordenação — o que confirma, deste lado, o que o ponto 6.4 observara.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Efeito na conclusão.</w:t>
            </w:r>
            <w:r>
              <w:rPr>
                <w:rFonts w:ascii="Aptos" w:hAnsi="Aptos" w:cs="Aptos" w:eastAsia="Aptos"/>
                <w:b w:val="0"/>
                <w:i w:val="0"/>
                <w:color w:val="2B2B2B"/>
                <w:sz w:val="19"/>
              </w:rPr>
              <w:t xml:space="preserve"> A questão 8 era a que poderia esvaziar a tese na prática, e não a esvazia: o poder existe, mas com fundamento diferente daquele que a leitura contrária lhe daria. A tese mantém-se, e ganha em precisão — o que muda não é se a câmara pode agir, é </w:t>
            </w:r>
            <w:r>
              <w:rPr>
                <w:rFonts w:ascii="Aptos" w:hAnsi="Aptos" w:cs="Aptos" w:eastAsia="Aptos"/>
                <w:b/>
                <w:i w:val="0"/>
                <w:color w:val="2B2B2B"/>
                <w:sz w:val="19"/>
              </w:rPr>
              <w:t>com que fundamento</w:t>
            </w:r>
            <w:r>
              <w:rPr>
                <w:rFonts w:ascii="Aptos" w:hAnsi="Aptos" w:cs="Aptos" w:eastAsia="Aptos"/>
                <w:b w:val="0"/>
                <w:i w:val="0"/>
                <w:color w:val="2B2B2B"/>
                <w:sz w:val="19"/>
              </w:rPr>
              <w:t>.</w:t>
            </w:r>
          </w:p>
        </w:tc>
      </w:tr>
    </w:tbl>
    <w:p>
      <w:pPr>
        <w:spacing w:before="0" w:after="180" w:line="293" w:lineRule="auto"/>
      </w:pPr>
    </w:p>
    <w:p>
      <w:pPr>
        <w:keepNext/>
        <w:spacing w:before="200" w:after="60" w:line="293" w:lineRule="auto"/>
      </w:pPr>
      <w:r>
        <w:rPr>
          <w:rFonts w:ascii="Aptos" w:hAnsi="Aptos" w:cs="Aptos" w:eastAsia="Aptos"/>
          <w:b/>
          <w:i w:val="0"/>
          <w:color w:val="5C7891"/>
          <w:sz w:val="19"/>
        </w:rPr>
        <w:t>O caso de Santo Tirso</w:t>
      </w:r>
    </w:p>
    <w:p>
      <w:pPr>
        <w:spacing w:before="0" w:after="140" w:line="293" w:lineRule="auto"/>
        <w:jc w:val="both"/>
      </w:pPr>
      <w:r>
        <w:rPr>
          <w:rFonts w:ascii="Aptos" w:hAnsi="Aptos" w:cs="Aptos" w:eastAsia="Aptos"/>
          <w:b w:val="0"/>
          <w:i w:val="0"/>
          <w:color w:val="2B2B2B"/>
          <w:sz w:val="20"/>
        </w:rPr>
        <w:t>O ponto tem um caso real recente, e é preciso confrontá-lo com a resposta dada, sob pena de esta valer apenas no papel.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93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Facto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2006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Há registo de </w:t>
            </w:r>
            <w:r>
              <w:rPr>
                <w:rFonts w:ascii="Aptos" w:hAnsi="Aptos" w:cs="Aptos" w:eastAsia="Aptos"/>
                <w:b/>
                <w:i w:val="0"/>
                <w:color w:val="2B2B2B"/>
                <w:sz w:val="17"/>
              </w:rPr>
              <w:t>vistorias</w:t>
            </w:r>
            <w:r>
              <w:rPr>
                <w:rFonts w:ascii="Aptos" w:hAnsi="Aptos" w:cs="Aptos" w:eastAsia="Aptos"/>
                <w:b w:val="0"/>
                <w:i w:val="0"/>
                <w:color w:val="2B2B2B"/>
                <w:sz w:val="17"/>
              </w:rPr>
              <w:t xml:space="preserve"> aos espaços, segundo o esclarecimento público do Governo de 21 de julho de 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2010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w:t>
            </w:r>
            <w:r>
              <w:rPr>
                <w:rFonts w:ascii="Aptos" w:hAnsi="Aptos" w:cs="Aptos" w:eastAsia="Aptos"/>
                <w:b/>
                <w:i w:val="0"/>
                <w:color w:val="2B2B2B"/>
                <w:sz w:val="17"/>
              </w:rPr>
              <w:t>DGAV</w:t>
            </w:r>
            <w:r>
              <w:rPr>
                <w:rFonts w:ascii="Aptos" w:hAnsi="Aptos" w:cs="Aptos" w:eastAsia="Aptos"/>
                <w:b w:val="0"/>
                <w:i w:val="0"/>
                <w:color w:val="2B2B2B"/>
                <w:sz w:val="17"/>
              </w:rPr>
              <w:t xml:space="preserve"> passa a intervir, em </w:t>
            </w:r>
            <w:r>
              <w:rPr>
                <w:rFonts w:ascii="Aptos" w:hAnsi="Aptos" w:cs="Aptos" w:eastAsia="Aptos"/>
                <w:b/>
                <w:i w:val="0"/>
                <w:color w:val="2B2B2B"/>
                <w:sz w:val="17"/>
              </w:rPr>
              <w:t>vistorias conjuntas</w:t>
            </w:r>
            <w:r>
              <w:rPr>
                <w:rFonts w:ascii="Aptos" w:hAnsi="Aptos" w:cs="Aptos" w:eastAsia="Aptos"/>
                <w:b w:val="0"/>
                <w:i w:val="0"/>
                <w:color w:val="2B2B2B"/>
                <w:sz w:val="17"/>
              </w:rPr>
              <w:t xml:space="preserve"> com o município e com a autoridade de saúde, e aplica as </w:t>
            </w:r>
            <w:r>
              <w:rPr>
                <w:rFonts w:ascii="Aptos" w:hAnsi="Aptos" w:cs="Aptos" w:eastAsia="Aptos"/>
                <w:b/>
                <w:i w:val="0"/>
                <w:color w:val="2B2B2B"/>
                <w:sz w:val="17"/>
              </w:rPr>
              <w:t>sanções contraordenacionais</w:t>
            </w:r>
            <w:r>
              <w:rPr>
                <w:rFonts w:ascii="Aptos" w:hAnsi="Aptos" w:cs="Aptos" w:eastAsia="Aptos"/>
                <w:b w:val="0"/>
                <w:i w:val="0"/>
                <w:color w:val="2B2B2B"/>
                <w:sz w:val="17"/>
              </w:rPr>
              <w:t xml:space="preserve"> correspondentes (mesmo esclarecimento)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2012</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DGAV emite despacho pedindo à câmara municipal de Santo Tirso diligências para </w:t>
            </w:r>
            <w:r>
              <w:rPr>
                <w:rFonts w:ascii="Aptos" w:hAnsi="Aptos" w:cs="Aptos" w:eastAsia="Aptos"/>
                <w:b/>
                <w:i w:val="0"/>
                <w:color w:val="2B2B2B"/>
                <w:sz w:val="17"/>
              </w:rPr>
              <w:t>retirar os animais</w:t>
            </w:r>
            <w:r>
              <w:rPr>
                <w:rFonts w:ascii="Aptos" w:hAnsi="Aptos" w:cs="Aptos" w:eastAsia="Aptos"/>
                <w:b w:val="0"/>
                <w:i w:val="0"/>
                <w:color w:val="2B2B2B"/>
                <w:sz w:val="17"/>
              </w:rPr>
              <w:t xml:space="preserve"> do abrigo «Cantinho das Quatro Patas»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2018</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Um processo-crime relativo ao abrigo corre no tribunal de Santo Tirso e é </w:t>
            </w:r>
            <w:r>
              <w:rPr>
                <w:rFonts w:ascii="Aptos" w:hAnsi="Aptos" w:cs="Aptos" w:eastAsia="Aptos"/>
                <w:b/>
                <w:i w:val="0"/>
                <w:color w:val="2B2B2B"/>
                <w:sz w:val="17"/>
              </w:rPr>
              <w:t>arquivado</w:t>
            </w:r>
            <w:r>
              <w:rPr>
                <w:rFonts w:ascii="Aptos" w:hAnsi="Aptos" w:cs="Aptos" w:eastAsia="Aptos"/>
                <w:b w:val="0"/>
                <w:i w:val="0"/>
                <w:color w:val="2B2B2B"/>
                <w:sz w:val="17"/>
              </w:rPr>
              <w:t xml:space="preserve"> — segundo o presidente da câmara, com os autos a consignarem que os animais não eram vítimas de maus-tratos. No mesmo ano a câmara obtém parecer jurídico externo que conclui que «as câmaras não têm competência para </w:t>
            </w:r>
            <w:r>
              <w:rPr>
                <w:rFonts w:ascii="Aptos" w:hAnsi="Aptos" w:cs="Aptos" w:eastAsia="Aptos"/>
                <w:b/>
                <w:i w:val="0"/>
                <w:color w:val="2B2B2B"/>
                <w:sz w:val="17"/>
              </w:rPr>
              <w:t>encerrar</w:t>
            </w:r>
            <w:r>
              <w:rPr>
                <w:rFonts w:ascii="Aptos" w:hAnsi="Aptos" w:cs="Aptos" w:eastAsia="Aptos"/>
                <w:b w:val="0"/>
                <w:i w:val="0"/>
                <w:color w:val="2B2B2B"/>
                <w:sz w:val="17"/>
              </w:rPr>
              <w:t xml:space="preserve"> abrigos de animais»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19.6.2020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Despacho n.º 6928/2020 — criação do </w:t>
            </w:r>
            <w:r>
              <w:rPr>
                <w:rFonts w:ascii="Aptos" w:hAnsi="Aptos" w:cs="Aptos" w:eastAsia="Aptos"/>
                <w:b/>
                <w:i w:val="0"/>
                <w:color w:val="2B2B2B"/>
                <w:sz w:val="17"/>
              </w:rPr>
              <w:t>Grupo de Trabalho para o Bem-Estar Animal</w:t>
            </w:r>
            <w:r>
              <w:rPr>
                <w:rFonts w:ascii="Aptos" w:hAnsi="Aptos" w:cs="Aptos" w:eastAsia="Aptos"/>
                <w:b w:val="0"/>
                <w:i w:val="0"/>
                <w:color w:val="2B2B2B"/>
                <w:sz w:val="17"/>
              </w:rPr>
              <w:t>, invocado no esclarecimento do Governo como a via aberta para rever o regime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18.7.2020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Incêndio na Serra da Agrela; morrem dezenas de animais em dois abrigos — «Cantinho das 4 Patas» e «Abrigo de Paredes» —, </w:t>
            </w:r>
            <w:r>
              <w:rPr>
                <w:rFonts w:ascii="Aptos" w:hAnsi="Aptos" w:cs="Aptos" w:eastAsia="Aptos"/>
                <w:b/>
                <w:i w:val="0"/>
                <w:color w:val="2B2B2B"/>
                <w:sz w:val="17"/>
              </w:rPr>
              <w:t>sem qualquer registo na DGAV</w:t>
            </w:r>
            <w:r>
              <w:rPr>
                <w:rFonts w:ascii="Aptos" w:hAnsi="Aptos" w:cs="Aptos" w:eastAsia="Aptos"/>
                <w:b w:val="0"/>
                <w:i w:val="0"/>
                <w:color w:val="2B2B2B"/>
                <w:sz w:val="17"/>
              </w:rPr>
              <w:t>, já antes objeto de vistorias conjuntas e de processos de contraordenação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21.7.2020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Secretaria de Estado da Agricultura e do Desenvolvimento Rural divulga «Esclarecimento sobre legalidade dos alojamentos de hospedagem de animais sem fins lucrativos afetados pelo incêndio de Santo Tirso»: os dois espaços </w:t>
            </w:r>
            <w:r>
              <w:rPr>
                <w:rFonts w:ascii="Aptos" w:hAnsi="Aptos" w:cs="Aptos" w:eastAsia="Aptos"/>
                <w:b/>
                <w:i w:val="0"/>
                <w:color w:val="2B2B2B"/>
                <w:sz w:val="17"/>
              </w:rPr>
              <w:t>nunca cumpriram os procedimentos do Decreto-Lei n.º 276/2001</w:t>
            </w:r>
            <w:r>
              <w:rPr>
                <w:rFonts w:ascii="Aptos" w:hAnsi="Aptos" w:cs="Aptos" w:eastAsia="Aptos"/>
                <w:b w:val="0"/>
                <w:i w:val="0"/>
                <w:color w:val="2B2B2B"/>
                <w:sz w:val="17"/>
              </w:rPr>
              <w:t xml:space="preserve">; invoca esse diploma, o </w:t>
            </w:r>
            <w:r>
              <w:rPr>
                <w:rFonts w:ascii="Aptos" w:hAnsi="Aptos" w:cs="Aptos" w:eastAsia="Aptos"/>
                <w:b/>
                <w:i w:val="0"/>
                <w:color w:val="2B2B2B"/>
                <w:sz w:val="17"/>
              </w:rPr>
              <w:t>artigo 4.º do Decreto-Lei n.º 116/98</w:t>
            </w:r>
            <w:r>
              <w:rPr>
                <w:rFonts w:ascii="Aptos" w:hAnsi="Aptos" w:cs="Aptos" w:eastAsia="Aptos"/>
                <w:b w:val="0"/>
                <w:i w:val="0"/>
                <w:color w:val="2B2B2B"/>
                <w:sz w:val="17"/>
              </w:rPr>
              <w:t xml:space="preserve"> e o Despacho n.º 6928/2020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câmara </w:t>
            </w:r>
            <w:r>
              <w:rPr>
                <w:rFonts w:ascii="Aptos" w:hAnsi="Aptos" w:cs="Aptos" w:eastAsia="Aptos"/>
                <w:b/>
                <w:i w:val="0"/>
                <w:color w:val="2B2B2B"/>
                <w:sz w:val="17"/>
              </w:rPr>
              <w:t>suspende o médico veterinário municipal</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23.7.2020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Assembleia da República aprova a audição do presidente da câmara, realizada a 30 de julho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presidente da câmara declara publicamente que só «nos últimos dias» tomou conhecimento do documento de 2012, e invoca o parecer de 2018 (ver adiante — é a peça mais reveladora do caso)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1.10.2020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Entra em vigor o artigo 1.º-A da Lei n.º 92/95, aditado pela Lei n.º 39/2020 — </w:t>
            </w:r>
            <w:r>
              <w:rPr>
                <w:rFonts w:ascii="Aptos" w:hAnsi="Aptos" w:cs="Aptos" w:eastAsia="Aptos"/>
                <w:b/>
                <w:i w:val="0"/>
                <w:color w:val="2B2B2B"/>
                <w:sz w:val="17"/>
              </w:rPr>
              <w:t>posterior ao incêndio</w:t>
            </w:r>
            <w:r>
              <w:rPr>
                <w:rFonts w:ascii="Aptos" w:hAnsi="Aptos" w:cs="Aptos" w:eastAsia="Aptos"/>
                <w:b w:val="0"/>
                <w:i w:val="0"/>
                <w:color w:val="2B2B2B"/>
                <w:sz w:val="17"/>
              </w:rPr>
              <w:t xml:space="preserve"> (ver adiante)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fim de 2022</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Ministério Público </w:t>
            </w:r>
            <w:r>
              <w:rPr>
                <w:rFonts w:ascii="Aptos" w:hAnsi="Aptos" w:cs="Aptos" w:eastAsia="Aptos"/>
                <w:b/>
                <w:i w:val="0"/>
                <w:color w:val="2B2B2B"/>
                <w:sz w:val="17"/>
              </w:rPr>
              <w:t>arquiva</w:t>
            </w:r>
            <w:r>
              <w:rPr>
                <w:rFonts w:ascii="Aptos" w:hAnsi="Aptos" w:cs="Aptos" w:eastAsia="Aptos"/>
                <w:b w:val="0"/>
                <w:i w:val="0"/>
                <w:color w:val="2B2B2B"/>
                <w:sz w:val="17"/>
              </w:rPr>
              <w:t xml:space="preserve"> o processo por insuficiência de prova</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26.3.2023</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w:t>
            </w:r>
            <w:r>
              <w:rPr>
                <w:rFonts w:ascii="Aptos" w:hAnsi="Aptos" w:cs="Aptos" w:eastAsia="Aptos"/>
                <w:b/>
                <w:i w:val="0"/>
                <w:color w:val="2B2B2B"/>
                <w:sz w:val="17"/>
              </w:rPr>
              <w:t>reaberto</w:t>
            </w:r>
            <w:r>
              <w:rPr>
                <w:rFonts w:ascii="Aptos" w:hAnsi="Aptos" w:cs="Aptos" w:eastAsia="Aptos"/>
                <w:b w:val="0"/>
                <w:i w:val="0"/>
                <w:color w:val="2B2B2B"/>
                <w:sz w:val="17"/>
              </w:rPr>
              <w:t>, após mobilização do PAN e de associações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dez. 2024</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remetido para julgamento. Entre os arguidos, o </w:t>
            </w:r>
            <w:r>
              <w:rPr>
                <w:rFonts w:ascii="Aptos" w:hAnsi="Aptos" w:cs="Aptos" w:eastAsia="Aptos"/>
                <w:b/>
                <w:i w:val="0"/>
                <w:color w:val="2B2B2B"/>
                <w:sz w:val="17"/>
              </w:rPr>
              <w:t>ex-médico veterinário municipal</w:t>
            </w:r>
            <w:r>
              <w:rPr>
                <w:rFonts w:ascii="Aptos" w:hAnsi="Aptos" w:cs="Aptos" w:eastAsia="Aptos"/>
                <w:b w:val="0"/>
                <w:i w:val="0"/>
                <w:color w:val="2B2B2B"/>
                <w:sz w:val="17"/>
              </w:rPr>
              <w:t xml:space="preserve"> (acusado de conhecer os abrigos ilegais e de não ter agido em tempo) e a </w:t>
            </w:r>
            <w:r>
              <w:rPr>
                <w:rFonts w:ascii="Aptos" w:hAnsi="Aptos" w:cs="Aptos" w:eastAsia="Aptos"/>
                <w:b/>
                <w:i w:val="0"/>
                <w:color w:val="2B2B2B"/>
                <w:sz w:val="17"/>
              </w:rPr>
              <w:t>coordenadora municipal da Proteção Civil</w:t>
            </w:r>
            <w:r>
              <w:rPr>
                <w:rFonts w:ascii="Aptos" w:hAnsi="Aptos" w:cs="Aptos" w:eastAsia="Aptos"/>
                <w:b w:val="0"/>
                <w:i w:val="0"/>
                <w:color w:val="2B2B2B"/>
                <w:sz w:val="17"/>
              </w:rPr>
              <w:t xml:space="preserve"> (acusada de não ter respondido aos alertas), além dos responsáveis dos dois abrigos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24.2.2026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do julgamento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9.9.2026</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Tribunal de Matosinhos absolve os cinco arguidos. O coletivo consigna que nenhum dos dois titulares de cargos públicos tinha poderes para ordenar a </w:t>
            </w:r>
            <w:r>
              <w:rPr>
                <w:rFonts w:ascii="Aptos" w:hAnsi="Aptos" w:cs="Aptos" w:eastAsia="Aptos"/>
                <w:b/>
                <w:i w:val="0"/>
                <w:color w:val="2B2B2B"/>
                <w:sz w:val="17"/>
              </w:rPr>
              <w:t>evacuação forçada</w:t>
            </w:r>
            <w:r>
              <w:rPr>
                <w:rFonts w:ascii="Aptos" w:hAnsi="Aptos" w:cs="Aptos" w:eastAsia="Aptos"/>
                <w:b w:val="0"/>
                <w:i w:val="0"/>
                <w:color w:val="2B2B2B"/>
                <w:sz w:val="17"/>
              </w:rPr>
              <w:t xml:space="preserve"> dos espaços privados na noite do incêndio. Em julgamento, o </w:t>
            </w:r>
            <w:r>
              <w:rPr>
                <w:rFonts w:ascii="Aptos" w:hAnsi="Aptos" w:cs="Aptos" w:eastAsia="Aptos"/>
                <w:b/>
                <w:i w:val="0"/>
                <w:color w:val="2B2B2B"/>
                <w:sz w:val="17"/>
              </w:rPr>
              <w:t>Ministério Público</w:t>
            </w:r>
            <w:r>
              <w:rPr>
                <w:rFonts w:ascii="Aptos" w:hAnsi="Aptos" w:cs="Aptos" w:eastAsia="Aptos"/>
                <w:b w:val="0"/>
                <w:i w:val="0"/>
                <w:color w:val="2B2B2B"/>
                <w:sz w:val="17"/>
              </w:rPr>
              <w:t xml:space="preserve"> havia já declarado não ver prova de crime; o </w:t>
            </w:r>
            <w:r>
              <w:rPr>
                <w:rFonts w:ascii="Aptos" w:hAnsi="Aptos" w:cs="Aptos" w:eastAsia="Aptos"/>
                <w:b/>
                <w:i w:val="0"/>
                <w:color w:val="2B2B2B"/>
                <w:sz w:val="17"/>
              </w:rPr>
              <w:t>PAN</w:t>
            </w:r>
            <w:r>
              <w:rPr>
                <w:rFonts w:ascii="Aptos" w:hAnsi="Aptos" w:cs="Aptos" w:eastAsia="Aptos"/>
                <w:b w:val="0"/>
                <w:i w:val="0"/>
                <w:color w:val="2B2B2B"/>
                <w:sz w:val="17"/>
              </w:rPr>
              <w:t xml:space="preserve">, assistente, anunciou </w:t>
            </w:r>
            <w:r>
              <w:rPr>
                <w:rFonts w:ascii="Aptos" w:hAnsi="Aptos" w:cs="Aptos" w:eastAsia="Aptos"/>
                <w:b/>
                <w:i w:val="0"/>
                <w:color w:val="2B2B2B"/>
                <w:sz w:val="17"/>
              </w:rPr>
              <w:t>recurso</w:t>
            </w:r>
            <w:r>
              <w:rPr>
                <w:rFonts w:ascii="Aptos" w:hAnsi="Aptos" w:cs="Aptos" w:eastAsia="Aptos"/>
                <w:b w:val="0"/>
                <w:i w:val="0"/>
                <w:color w:val="2B2B2B"/>
                <w:sz w:val="17"/>
              </w:rPr>
              <w:t xml:space="preserve"> — a decisão </w:t>
            </w:r>
            <w:r>
              <w:rPr>
                <w:rFonts w:ascii="Aptos" w:hAnsi="Aptos" w:cs="Aptos" w:eastAsia="Aptos"/>
                <w:b/>
                <w:i w:val="0"/>
                <w:color w:val="2B2B2B"/>
                <w:sz w:val="17"/>
              </w:rPr>
              <w:t>não é definitiva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Número de animais mortos.</w:t>
            </w:r>
            <w:r>
              <w:rPr>
                <w:rFonts w:ascii="Aptos" w:hAnsi="Aptos" w:cs="Aptos" w:eastAsia="Aptos"/>
                <w:b w:val="0"/>
                <w:i w:val="0"/>
                <w:color w:val="2B2B2B"/>
                <w:sz w:val="19"/>
              </w:rPr>
              <w:t xml:space="preserve"> As fontes divergem — 54, 73 («69 cães e 4 gatos»), 92 e 93 —, conforme o momento da contagem e conforme se contem os animais mortos no incêndio ou também os que morreram depois. O estudo não fixa um número: o que é juridicamente relevante é que morreram </w:t>
            </w:r>
            <w:r>
              <w:rPr>
                <w:rFonts w:ascii="Aptos" w:hAnsi="Aptos" w:cs="Aptos" w:eastAsia="Aptos"/>
                <w:b/>
                <w:i w:val="0"/>
                <w:color w:val="2B2B2B"/>
                <w:sz w:val="19"/>
              </w:rPr>
              <w:t>dezenas de animais em espaços sem registo</w:t>
            </w:r>
            <w:r>
              <w:rPr>
                <w:rFonts w:ascii="Aptos" w:hAnsi="Aptos" w:cs="Aptos" w:eastAsia="Aptos"/>
                <w:b w:val="0"/>
                <w:i w:val="0"/>
                <w:color w:val="2B2B2B"/>
                <w:sz w:val="19"/>
              </w:rPr>
              <w:t>, sobre os quais havia vistorias desde 2006.</w:t>
            </w:r>
          </w:p>
        </w:tc>
      </w:tr>
    </w:tbl>
    <w:p>
      <w:pPr>
        <w:spacing w:before="0" w:after="180" w:line="293" w:lineRule="auto"/>
      </w:pPr>
    </w:p>
    <w:p>
      <w:pPr>
        <w:keepNext/>
        <w:spacing w:before="200" w:after="60" w:line="293" w:lineRule="auto"/>
      </w:pPr>
      <w:r>
        <w:rPr>
          <w:rFonts w:ascii="Aptos" w:hAnsi="Aptos" w:cs="Aptos" w:eastAsia="Aptos"/>
          <w:b/>
          <w:i w:val="0"/>
          <w:color w:val="5C7891"/>
          <w:sz w:val="19"/>
        </w:rPr>
        <w:t>A audição parlamentar de 30 de julho de 2020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caso foi tratado em contraditório público na Comissão de Agricultura e Mar, em audição do presidente da Câmara Municipal de Santo Tirso requerida pelo Grupo Parlamentar do PAN — Audição parlamentar n.º 32-CAM-XIV, de 30 de julho de 2020. Obtida a gravação, o que dela se apura altera três pontos deste estudo e confirma um quarto. As citações que seguem provêm de transcrição automática, com marca temporal conferível na gravação; o regime de citação está descrito no Anexo C.6.</w:t>
            </w:r>
          </w:p>
        </w:tc>
      </w:tr>
    </w:tbl>
    <w:p>
      <w:pPr>
        <w:spacing w:before="0" w:after="180" w:line="293" w:lineRule="auto"/>
      </w:pPr>
    </w:p>
    <w:p>
      <w:pPr>
        <w:spacing w:before="0" w:after="140" w:line="293" w:lineRule="auto"/>
        <w:jc w:val="both"/>
      </w:pPr>
      <w:r>
        <w:rPr>
          <w:rFonts w:ascii="Aptos" w:hAnsi="Aptos" w:cs="Aptos" w:eastAsia="Aptos"/>
          <w:b/>
          <w:i w:val="0"/>
          <w:color w:val="2B2B2B"/>
          <w:sz w:val="20"/>
        </w:rPr>
        <w:t>Primeiro — a qualificação do acto de 2012 fica estabelecida.</w:t>
      </w:r>
      <w:r>
        <w:rPr>
          <w:rFonts w:ascii="Aptos" w:hAnsi="Aptos" w:cs="Aptos" w:eastAsia="Aptos"/>
          <w:b w:val="0"/>
          <w:i w:val="0"/>
          <w:color w:val="2B2B2B"/>
          <w:sz w:val="20"/>
        </w:rPr>
        <w:t xml:space="preserve"> Não era pedido de remoção nem ordem de encerramento em alternativa: era decisão de encerramento, proferida em processo de contraordenação, acompanhada de pedido de diligências ao município.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uma indicação por parte da DGAV em 2012 dada à Câmara Municipal de Santo Tirso para encerramento deste abrigo especificamente, e que desde 2012 a Câmara Municipal de Santo Tirso não tomou nenhuma medida para cumprir esta indicação da DGAV que, aliás, vinha no seguimento de uma contraordenação.</w:t>
            </w:r>
          </w:p>
          <w:p>
            <w:pPr>
              <w:spacing w:before="120" w:after="0" w:line="293" w:lineRule="auto"/>
            </w:pPr>
            <w:r>
              <w:rPr>
                <w:rFonts w:ascii="Aptos" w:hAnsi="Aptos" w:cs="Aptos" w:eastAsia="Aptos"/>
                <w:b w:val="0"/>
                <w:i w:val="0"/>
                <w:color w:val="7C8894"/>
                <w:sz w:val="15"/>
              </w:rPr>
              <w:t>Audição parlamentar n.º 32-CAM-XIV, 30.7.2020, 00:43:37 — transcrição automática</w:t>
            </w:r>
          </w:p>
        </w:tc>
      </w:tr>
    </w:tbl>
    <w:p>
      <w:pPr>
        <w:spacing w:before="0" w:after="180" w:line="293" w:lineRule="auto"/>
      </w:pPr>
    </w:p>
    <w:p>
      <w:pPr>
        <w:spacing w:before="0" w:after="140" w:line="293" w:lineRule="auto"/>
        <w:jc w:val="both"/>
      </w:pPr>
      <w:r>
        <w:rPr>
          <w:rFonts w:ascii="Aptos" w:hAnsi="Aptos" w:cs="Aptos" w:eastAsia="Aptos"/>
          <w:b/>
          <w:i w:val="0"/>
          <w:color w:val="2B2B2B"/>
          <w:sz w:val="20"/>
        </w:rPr>
        <w:t>Segundo — a divisão de competências do artigo 3.º-G foi enunciada em comissão, com o diploma na mão.</w:t>
      </w:r>
      <w:r>
        <w:rPr>
          <w:rFonts w:ascii="Aptos" w:hAnsi="Aptos" w:cs="Aptos" w:eastAsia="Aptos"/>
          <w:b w:val="0"/>
          <w:i w:val="0"/>
          <w:color w:val="2B2B2B"/>
          <w:sz w:val="20"/>
        </w:rPr>
        <w:t xml:space="preserve"> O que este estudo reconstruiu a partir do jornal oficial estava dito no registo parlamentar seis anos antes.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no caso particular do abrigo de animais de [Santo Tirso], a DGAV, no âmbito de um processo de contraordenação, emitiu em 2012 — e portanto, estamos a dizer há oito anos — uma decisão de encerramento daquele alojamento. Segundo o Decreto-Lei n.º 276/2001, é competência do Diretor-Geral de Alimentação e Veterinária a decisão de encerramento destes locais. Segundo o mesmo diploma, compete às câmaras municipais executar as medidas necessárias ao cumprimento da decisão de encerramento.</w:t>
            </w:r>
          </w:p>
          <w:p>
            <w:pPr>
              <w:spacing w:before="120" w:after="0" w:line="293" w:lineRule="auto"/>
            </w:pPr>
            <w:r>
              <w:rPr>
                <w:rFonts w:ascii="Aptos" w:hAnsi="Aptos" w:cs="Aptos" w:eastAsia="Aptos"/>
                <w:b w:val="0"/>
                <w:i w:val="0"/>
                <w:color w:val="7C8894"/>
                <w:sz w:val="15"/>
              </w:rPr>
              <w:t>Idem, 00:49:46 a 00:50:16 — transcrição automática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informação sobre o acto de 2012 é atribuída, na audição, à </w:t>
      </w:r>
      <w:r>
        <w:rPr>
          <w:rFonts w:ascii="Aptos" w:hAnsi="Aptos" w:cs="Aptos" w:eastAsia="Aptos"/>
          <w:b/>
          <w:i w:val="0"/>
          <w:color w:val="2B2B2B"/>
          <w:sz w:val="20"/>
        </w:rPr>
        <w:t>Associação Nacional de Médicos Veterinários Municipais</w:t>
      </w:r>
      <w:r>
        <w:rPr>
          <w:rFonts w:ascii="Aptos" w:hAnsi="Aptos" w:cs="Aptos" w:eastAsia="Aptos"/>
          <w:b w:val="0"/>
          <w:i w:val="0"/>
          <w:color w:val="2B2B2B"/>
          <w:sz w:val="20"/>
        </w:rPr>
        <w:t>. A mesma divisão foi repetida por outro grupo parlamentar: «se é verdade que é da competência da DGAV determinar o encerramento deste tipo de estabelecimentos, também é verdade que o mesmo decreto-lei que determina esta competência na DGAV determina que é a competência das autarquias tomar as medidas necessárias para cumprir as decisões que são tomadas pela DGAV» (01:34:37).</w:t>
      </w:r>
    </w:p>
    <w:p>
      <w:pPr>
        <w:spacing w:before="0" w:after="140" w:line="293" w:lineRule="auto"/>
        <w:jc w:val="both"/>
      </w:pPr>
      <w:r>
        <w:rPr>
          <w:rFonts w:ascii="Aptos" w:hAnsi="Aptos" w:cs="Aptos" w:eastAsia="Aptos"/>
          <w:b/>
          <w:i w:val="0"/>
          <w:color w:val="2B2B2B"/>
          <w:sz w:val="20"/>
        </w:rPr>
        <w:t>Terceiro — o Governo afirmou que o município tinha competências para atuar.</w:t>
      </w:r>
      <w:r>
        <w:rPr>
          <w:rFonts w:ascii="Aptos" w:hAnsi="Aptos" w:cs="Aptos" w:eastAsia="Aptos"/>
          <w:b w:val="0"/>
          <w:i w:val="0"/>
          <w:color w:val="2B2B2B"/>
          <w:sz w:val="20"/>
        </w:rPr>
        <w:t xml:space="preserve"> O comunicado do Ministério da Agricultura foi lido em comissão: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processo administrativo […] distinto na DGAV, relativo aos alojamentos em causa, constam vistorias efetuadas por outras entidades desde 2006, bem como notificação dirigida ao Município para a atuação no âmbito das competências que lhes são atribuídas, fim de citação.</w:t>
            </w:r>
          </w:p>
          <w:p>
            <w:pPr>
              <w:spacing w:before="120" w:after="0" w:line="293" w:lineRule="auto"/>
            </w:pPr>
            <w:r>
              <w:rPr>
                <w:rFonts w:ascii="Aptos" w:hAnsi="Aptos" w:cs="Aptos" w:eastAsia="Aptos"/>
                <w:b w:val="0"/>
                <w:i w:val="0"/>
                <w:color w:val="7C8894"/>
                <w:sz w:val="15"/>
              </w:rPr>
              <w:t>Idem, 00:35:23 — transcrição automática; o deputado cita comunicado do Ministério da Agricultura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Este estudo sustentava a competência municipal de execução por leitura do n.º 6 do artigo 3.º-G, contra a conclusão do parecer de 2018. </w:t>
            </w:r>
            <w:r>
              <w:rPr>
                <w:rFonts w:ascii="Aptos" w:hAnsi="Aptos" w:cs="Aptos" w:eastAsia="Aptos"/>
                <w:b/>
                <w:i w:val="0"/>
                <w:color w:val="2B2B2B"/>
                <w:sz w:val="20"/>
              </w:rPr>
              <w:t>A posição do Governo, expressa em comunicado e lida em comissão, é a mesma.</w:t>
            </w:r>
            <w:r>
              <w:rPr>
                <w:rFonts w:ascii="Aptos" w:hAnsi="Aptos" w:cs="Aptos" w:eastAsia="Aptos"/>
                <w:b w:val="0"/>
                <w:i w:val="0"/>
                <w:color w:val="2B2B2B"/>
                <w:sz w:val="20"/>
              </w:rPr>
              <w:t xml:space="preserve"> Deixa de ser interpretação isolada deste estudo.</w:t>
            </w:r>
          </w:p>
        </w:tc>
      </w:tr>
    </w:tbl>
    <w:p>
      <w:pPr>
        <w:spacing w:before="0" w:after="180" w:line="293" w:lineRule="auto"/>
      </w:pPr>
    </w:p>
    <w:p>
      <w:pPr>
        <w:spacing w:before="0" w:after="140" w:line="293" w:lineRule="auto"/>
        <w:jc w:val="both"/>
      </w:pPr>
      <w:r>
        <w:rPr>
          <w:rFonts w:ascii="Aptos" w:hAnsi="Aptos" w:cs="Aptos" w:eastAsia="Aptos"/>
          <w:b/>
          <w:i w:val="0"/>
          <w:color w:val="2B2B2B"/>
          <w:sz w:val="20"/>
        </w:rPr>
        <w:t>Quarto — a razão declarada para a inércia não foi falta de competência.</w:t>
      </w:r>
      <w:r>
        <w:rPr>
          <w:rFonts w:ascii="Aptos" w:hAnsi="Aptos" w:cs="Aptos" w:eastAsia="Aptos"/>
          <w:b w:val="0"/>
          <w:i w:val="0"/>
          <w:color w:val="2B2B2B"/>
          <w:sz w:val="20"/>
        </w:rPr>
        <w:t xml:space="preserve"> Foi falta de capacidade de acolhimento: a câmara «não encerrou, nem em 2012, nem em nenhum ano até à data, supostamente porque não tinha condições para receber ou encaminhar todos aqueles animais» (00:35:08). É precisamente o custo que o ponto 15.7 identifica como recaindo sobre quem executa.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Dois factos acessórios, ambos úteis.</w:t>
            </w:r>
            <w:r>
              <w:rPr>
                <w:rFonts w:ascii="Aptos" w:hAnsi="Aptos" w:cs="Aptos" w:eastAsia="Aptos"/>
                <w:b w:val="0"/>
                <w:i w:val="0"/>
                <w:color w:val="2B2B2B"/>
                <w:sz w:val="19"/>
              </w:rPr>
              <w:t xml:space="preserve"> A recolha dos animais mortos foi feita pelo município e só por ele — «os serviços da Câmara Municipal, e só os serviços da Câmara Municipal, [procederam] à recolha dos 54 animais que se encontravam mortos» (00:14:38) —, o que fixa em 54 o número de animais recolhidos mortos e confirma quem executa. E a dependência hierárquica do médico veterinário municipal, tratada adiante, foi matéria de debate: após a sua suspensão pelo presidente da câmara, foi consignado em comissão «a dependência hierárquica deste veterinário da Câmara Municipal» (00:37:04).</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caso não decide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Respeita a dois titulares de cargos, não à câmara municipal.</w:t>
      </w:r>
      <w:r>
        <w:rPr>
          <w:rFonts w:ascii="Aptos" w:hAnsi="Aptos" w:cs="Aptos" w:eastAsia="Aptos"/>
          <w:b w:val="0"/>
          <w:i w:val="0"/>
          <w:color w:val="2B2B2B"/>
          <w:sz w:val="20"/>
        </w:rPr>
        <w:t xml:space="preserve"> O n.º 5 do artigo 3.º confere o poder «às câmaras municipais», e exige vistoria conjunta prévia: é ato do órgão colegial, precedido de procedimento. O médico veterinário municipal e a coordenadora da Proteção Civil não são a câmara.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Respeita a uma evacuação forçada na noite de um incêndio</w:t>
      </w:r>
      <w:r>
        <w:rPr>
          <w:rFonts w:ascii="Aptos" w:hAnsi="Aptos" w:cs="Aptos" w:eastAsia="Aptos"/>
          <w:b w:val="0"/>
          <w:i w:val="0"/>
          <w:color w:val="2B2B2B"/>
          <w:sz w:val="20"/>
        </w:rPr>
        <w:t xml:space="preserve"> — medida de emergência de proteção civil —, e não à notificação para remoção do n.º 5, que é ato de polícia sanitária com procedimento próprio e prazo fixado.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é, pelo percurso do processo, uma decisão sobre factos e imputação, não sobre competências legais.</w:t>
      </w:r>
      <w:r>
        <w:rPr>
          <w:rFonts w:ascii="Aptos" w:hAnsi="Aptos" w:cs="Aptos" w:eastAsia="Aptos"/>
          <w:b w:val="0"/>
          <w:i w:val="0"/>
          <w:color w:val="2B2B2B"/>
          <w:sz w:val="20"/>
        </w:rPr>
        <w:t xml:space="preserve"> O processo foi arquivado pelo Ministério Público no final de 2022 por insuficiência de prova, reaberto em março de 2023 por impulso do PAN e de associações, e em julgamento o próprio Ministério Público declarou não ver prova de crime. Antes disso, já um processo-crime de 2018 relativo ao mesmo abrigo havia sido arquivado. Uma absolvição neste percurso não é uma declaração de que os municípios não têm poderes: é o desfecho de um processo em que a acusação não se sustentou.</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Encerrar não é retirar.</w:t>
      </w:r>
      <w:r>
        <w:rPr>
          <w:rFonts w:ascii="Aptos" w:hAnsi="Aptos" w:cs="Aptos" w:eastAsia="Aptos"/>
          <w:b w:val="0"/>
          <w:i w:val="0"/>
          <w:color w:val="2B2B2B"/>
          <w:sz w:val="20"/>
        </w:rPr>
        <w:t xml:space="preserve"> O parecer de 2018 concluiu que as câmaras não podem </w:t>
      </w:r>
      <w:r>
        <w:rPr>
          <w:rFonts w:ascii="Aptos" w:hAnsi="Aptos" w:cs="Aptos" w:eastAsia="Aptos"/>
          <w:b/>
          <w:i w:val="0"/>
          <w:color w:val="2B2B2B"/>
          <w:sz w:val="20"/>
        </w:rPr>
        <w:t>encerrar</w:t>
      </w:r>
      <w:r>
        <w:rPr>
          <w:rFonts w:ascii="Aptos" w:hAnsi="Aptos" w:cs="Aptos" w:eastAsia="Aptos"/>
          <w:b w:val="0"/>
          <w:i w:val="0"/>
          <w:color w:val="2B2B2B"/>
          <w:sz w:val="20"/>
        </w:rPr>
        <w:t>, e está certo: determinar o encerramento de um alojamento é competência do diretor-geral de Alimentação e Veterinária, pelo n.º 1 do artigo 3.º-G do Decreto-Lei n.º 276/2001. Este estudo nunca afirmou o contrário — embora até agora tenha indicado para isso o fundamento errado, o que se corrige adiante.</w:t>
      </w:r>
    </w:p>
    <w:p>
      <w:pPr>
        <w:keepNext/>
        <w:spacing w:before="200" w:after="60" w:line="293" w:lineRule="auto"/>
      </w:pPr>
      <w:r>
        <w:rPr>
          <w:rFonts w:ascii="Aptos" w:hAnsi="Aptos" w:cs="Aptos" w:eastAsia="Aptos"/>
          <w:b/>
          <w:i w:val="0"/>
          <w:color w:val="5C7891"/>
          <w:sz w:val="19"/>
        </w:rPr>
        <w:t>O que o caso confirma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articulação real vai no sentido aqui sustentado.</w:t>
      </w:r>
      <w:r>
        <w:rPr>
          <w:rFonts w:ascii="Aptos" w:hAnsi="Aptos" w:cs="Aptos" w:eastAsia="Aptos"/>
          <w:b w:val="0"/>
          <w:i w:val="0"/>
          <w:color w:val="2B2B2B"/>
          <w:sz w:val="20"/>
        </w:rPr>
        <w:t xml:space="preserve"> Em 2012 foi a DGAV a dirigir-se à câmara a propósito do abrigo; e em 2020 foi o presidente da câmara a descrever a sequência legal identificando a autoridade administrativa dela como sendo, «neste caso, a câmara». As duas autoridades envolvidas, em momentos e com interesses opostos, colocaram o município no mesmo lugar — o do n.º 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com factos, a inibição descrita no ponto 15.7.</w:t>
      </w:r>
      <w:r>
        <w:rPr>
          <w:rFonts w:ascii="Aptos" w:hAnsi="Aptos" w:cs="Aptos" w:eastAsia="Aptos"/>
          <w:b w:val="0"/>
          <w:i w:val="0"/>
          <w:color w:val="2B2B2B"/>
          <w:sz w:val="20"/>
        </w:rPr>
        <w:t xml:space="preserve"> Abrigos não registados em zona rural, com vistorias feitas e contraordenações instauradas, e animais que ali permaneceram até morrerem. O sistema reativo não impediu nada.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cronologia mede a inércia com precisão.</w:t>
      </w:r>
      <w:r>
        <w:rPr>
          <w:rFonts w:ascii="Aptos" w:hAnsi="Aptos" w:cs="Aptos" w:eastAsia="Aptos"/>
          <w:b w:val="0"/>
          <w:i w:val="0"/>
          <w:color w:val="2B2B2B"/>
          <w:sz w:val="20"/>
        </w:rPr>
        <w:t xml:space="preserve"> Pelo próprio esclarecimento do Governo, havia vistorias desde 2006, intervenção da DGAV em vistorias conjuntas desde 2010, sanções contraordenacionais aplicadas, e um pedido expresso de remoção em 2012. São </w:t>
      </w:r>
      <w:r>
        <w:rPr>
          <w:rFonts w:ascii="Aptos" w:hAnsi="Aptos" w:cs="Aptos" w:eastAsia="Aptos"/>
          <w:b/>
          <w:i w:val="0"/>
          <w:color w:val="2B2B2B"/>
          <w:sz w:val="20"/>
        </w:rPr>
        <w:t>catorze anos</w:t>
      </w:r>
      <w:r>
        <w:rPr>
          <w:rFonts w:ascii="Aptos" w:hAnsi="Aptos" w:cs="Aptos" w:eastAsia="Aptos"/>
          <w:b w:val="0"/>
          <w:i w:val="0"/>
          <w:color w:val="2B2B2B"/>
          <w:sz w:val="20"/>
        </w:rPr>
        <w:t xml:space="preserve"> de atuação formalmente correta e materialmente inútil. Nenhum dos instrumentos usados — vistoria, contraordenação, pedido de remoção — retirou um animal.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que a falta de registo não impede a intervenção.</w:t>
      </w:r>
      <w:r>
        <w:rPr>
          <w:rFonts w:ascii="Aptos" w:hAnsi="Aptos" w:cs="Aptos" w:eastAsia="Aptos"/>
          <w:b w:val="0"/>
          <w:i w:val="0"/>
          <w:color w:val="2B2B2B"/>
          <w:sz w:val="20"/>
        </w:rPr>
        <w:t xml:space="preserve"> O Governo afirma que os espaços «nunca cumpriram os procedimentos» do Decreto-Lei n.º 276/2001 e, no mesmo texto, descreve vistorias e sanções aplicadas ao seu abrigo. É exatamente a leitura sustentada no ponto 15.7: o que desencadeia o regime dos alojamentos é a </w:t>
      </w:r>
      <w:r>
        <w:rPr>
          <w:rFonts w:ascii="Aptos" w:hAnsi="Aptos" w:cs="Aptos" w:eastAsia="Aptos"/>
          <w:b/>
          <w:i w:val="0"/>
          <w:color w:val="2B2B2B"/>
          <w:sz w:val="20"/>
        </w:rPr>
        <w:t>atividade</w:t>
      </w:r>
      <w:r>
        <w:rPr>
          <w:rFonts w:ascii="Aptos" w:hAnsi="Aptos" w:cs="Aptos" w:eastAsia="Aptos"/>
          <w:b w:val="0"/>
          <w:i w:val="0"/>
          <w:color w:val="2B2B2B"/>
          <w:sz w:val="20"/>
        </w:rPr>
        <w:t>, não o registo — quem não se registou não fica fora do regime, fica em infração dentro dele.</w:t>
      </w:r>
    </w:p>
    <w:p>
      <w:pPr>
        <w:keepNext/>
        <w:spacing w:before="200" w:after="60" w:line="293" w:lineRule="auto"/>
      </w:pPr>
      <w:r>
        <w:rPr>
          <w:rFonts w:ascii="Aptos" w:hAnsi="Aptos" w:cs="Aptos" w:eastAsia="Aptos"/>
          <w:b/>
          <w:i w:val="0"/>
          <w:color w:val="5C7891"/>
          <w:sz w:val="19"/>
        </w:rPr>
        <w:t>A norma que faltava a este estudo: o artigo 3.º-G</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que segue corrige o presente estudo. Até aqui, o encerramento de um alojamento foi aqui tratado como sanção acessória dos artigos 69.º e 70.º do Decreto-Lei n.º 276/2001. Está errado, ou pelo menos incompleto: existe no mesmo diploma uma norma autónoma de polícia administrativa, o artigo 3.º-G, que não tinha sido considerada e que muda o quadro da questão 8. Foi localizada a partir do requerimento do Grupo Parlamentar do PAN de 22 de julho de 2020 e conferida no Diário da República.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diretor-geral de Alimentação e Veterinária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a) Existência de riscos higiossanitários que ponham em causa a saúde das pessoas e ou dos animais;</w:t>
            </w:r>
          </w:p>
          <w:p>
            <w:pPr>
              <w:spacing w:before="0" w:after="80" w:line="293" w:lineRule="auto"/>
              <w:jc w:val="both"/>
            </w:pPr>
            <w:r>
              <w:rPr>
                <w:rFonts w:ascii="Aptos" w:hAnsi="Aptos" w:cs="Aptos" w:eastAsia="Aptos"/>
                <w:b w:val="0"/>
                <w:i/>
                <w:color w:val="2B2B2B"/>
                <w:sz w:val="19"/>
              </w:rPr>
              <w:t>b) Maus tratos aos animais;</w:t>
            </w:r>
          </w:p>
          <w:p>
            <w:pPr>
              <w:spacing w:before="0" w:after="80" w:line="293" w:lineRule="auto"/>
              <w:jc w:val="both"/>
            </w:pPr>
            <w:r>
              <w:rPr>
                <w:rFonts w:ascii="Aptos" w:hAnsi="Aptos" w:cs="Aptos" w:eastAsia="Aptos"/>
                <w:b w:val="0"/>
                <w:i/>
                <w:color w:val="2B2B2B"/>
                <w:sz w:val="19"/>
              </w:rPr>
              <w:t>c) Existência de graves problemas de saúde e bem-estar dos animais;</w:t>
            </w:r>
          </w:p>
          <w:p>
            <w:pPr>
              <w:spacing w:before="0" w:after="80" w:line="293" w:lineRule="auto"/>
              <w:jc w:val="both"/>
            </w:pPr>
            <w:r>
              <w:rPr>
                <w:rFonts w:ascii="Aptos" w:hAnsi="Aptos" w:cs="Aptos" w:eastAsia="Aptos"/>
                <w:b w:val="0"/>
                <w:i/>
                <w:color w:val="2B2B2B"/>
                <w:sz w:val="19"/>
              </w:rPr>
              <w:t>d) Falta de condições de segurança e de tranquilidade para as pessoas ou animais, bem como de proteção do meio ambiente.</w:t>
            </w:r>
          </w:p>
          <w:p>
            <w:pPr>
              <w:spacing w:before="0" w:after="80" w:line="293" w:lineRule="auto"/>
              <w:jc w:val="both"/>
            </w:pPr>
            <w:r>
              <w:rPr>
                <w:rFonts w:ascii="Aptos" w:hAnsi="Aptos" w:cs="Aptos" w:eastAsia="Aptos"/>
                <w:b w:val="0"/>
                <w:i/>
                <w:color w:val="2B2B2B"/>
                <w:sz w:val="19"/>
              </w:rPr>
              <w:t>[…]</w:t>
            </w:r>
          </w:p>
          <w:p>
            <w:pPr>
              <w:spacing w:before="0" w:after="80" w:line="293" w:lineRule="auto"/>
              <w:jc w:val="both"/>
            </w:pPr>
            <w:r>
              <w:rPr>
                <w:rFonts w:ascii="Aptos" w:hAnsi="Aptos" w:cs="Aptos" w:eastAsia="Aptos"/>
                <w:b w:val="0"/>
                <w:i/>
                <w:color w:val="2B2B2B"/>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before="0" w:after="0" w:line="293" w:lineRule="auto"/>
              <w:jc w:val="both"/>
            </w:pPr>
            <w:r>
              <w:rPr>
                <w:rFonts w:ascii="Aptos" w:hAnsi="Aptos" w:cs="Aptos" w:eastAsia="Aptos"/>
                <w:b w:val="0"/>
                <w:i/>
                <w:color w:val="2B2B2B"/>
                <w:sz w:val="19"/>
              </w:rPr>
              <w:t>6 — Compete às câmaras municipais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5 e 6 do artigo 3.º-G do Decreto-Lei n.º 276/2001, na redação em vigor, aditado pelo Decreto-Lei n.º 260/2012, de 12 de dezembro, e conferido no Diário da República, 1.ª série, n.º 240, de 12 de dezembro de 2012, a páginas 6981 e 6982</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Nota de conferência, e um erro na consolidação oficial.</w:t>
            </w:r>
            <w:r>
              <w:rPr>
                <w:rFonts w:ascii="Aptos" w:hAnsi="Aptos" w:cs="Aptos" w:eastAsia="Aptos"/>
                <w:b w:val="0"/>
                <w:i w:val="0"/>
                <w:color w:val="2B2B2B"/>
                <w:sz w:val="19"/>
              </w:rPr>
              <w:t xml:space="preserve"> A base consolidada indica como «1.ª versão» deste artigo o Decreto-Lei n.º 265/2007, de 24 de julho. </w:t>
            </w:r>
            <w:r>
              <w:rPr>
                <w:rFonts w:ascii="Aptos" w:hAnsi="Aptos" w:cs="Aptos" w:eastAsia="Aptos"/>
                <w:b/>
                <w:i w:val="0"/>
                <w:color w:val="2B2B2B"/>
                <w:sz w:val="19"/>
              </w:rPr>
              <w:t>Está errado.</w:t>
            </w:r>
            <w:r>
              <w:rPr>
                <w:rFonts w:ascii="Aptos" w:hAnsi="Aptos" w:cs="Aptos" w:eastAsia="Aptos"/>
                <w:b w:val="0"/>
                <w:i w:val="0"/>
                <w:color w:val="2B2B2B"/>
                <w:sz w:val="19"/>
              </w:rPr>
              <w:t xml:space="preserve"> Conferido o Diário da República, 1.ª série, n.º 141, de 24 de julho de 2007, esse diploma — que respeita à proteção dos animais em transporte — altera do Decreto-Lei n.º 276/2001 apenas o artigo 73.º, relativo a taxas, no seu artigo 21.º. O artigo 3.º-G foi aditado pelo Decreto-Lei n.º 260/2012, juntamente com todo o bloco dos artigos 3.º-B a 3.º-J, o que aliás se confirma pela remissão do artigo 3.º-I para o balcão único do Decreto-Lei n.º 92/2010 — posterior a 2007.</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Registe-se o que isto significa para o método do ponto 18.2: a advertência de que o compilador localiza e o jornal oficial cita não vale apenas contra compiladores privados. </w:t>
            </w:r>
            <w:r>
              <w:rPr>
                <w:rFonts w:ascii="Aptos" w:hAnsi="Aptos" w:cs="Aptos" w:eastAsia="Aptos"/>
                <w:b/>
                <w:i w:val="0"/>
                <w:color w:val="2B2B2B"/>
                <w:sz w:val="19"/>
              </w:rPr>
              <w:t>A consolidação oficial também erra</w:t>
            </w:r>
            <w:r>
              <w:rPr>
                <w:rFonts w:ascii="Aptos" w:hAnsi="Aptos" w:cs="Aptos" w:eastAsia="Aptos"/>
                <w:b w:val="0"/>
                <w:i w:val="0"/>
                <w:color w:val="2B2B2B"/>
                <w:sz w:val="19"/>
              </w:rPr>
              <w:t>, e neste caso erra na indicação de proveniência de uma norma central para a questão 8. O texto do artigo, esse, coincide.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Três consequências, e a segunda é a mais importante deste ponto.</w:t>
            </w:r>
          </w:p>
          <w:p>
            <w:pPr>
              <w:spacing w:before="0" w:after="80" w:line="293" w:lineRule="auto"/>
              <w:jc w:val="both"/>
            </w:pPr>
            <w:r>
              <w:rPr>
                <w:rFonts w:ascii="Aptos" w:hAnsi="Aptos" w:cs="Aptos" w:eastAsia="Aptos"/>
                <w:b/>
                <w:i w:val="0"/>
                <w:color w:val="2B2B2B"/>
                <w:sz w:val="20"/>
              </w:rPr>
              <w:t>Primeira — o parecer de 2018 estava certo, mas não pela razão que este estudo lhe deu.</w:t>
            </w:r>
            <w:r>
              <w:rPr>
                <w:rFonts w:ascii="Aptos" w:hAnsi="Aptos" w:cs="Aptos" w:eastAsia="Aptos"/>
                <w:b w:val="0"/>
                <w:i w:val="0"/>
                <w:color w:val="2B2B2B"/>
                <w:sz w:val="20"/>
              </w:rPr>
              <w:t xml:space="preserve"> As câmaras não têm competência para </w:t>
            </w:r>
            <w:r>
              <w:rPr>
                <w:rFonts w:ascii="Aptos" w:hAnsi="Aptos" w:cs="Aptos" w:eastAsia="Aptos"/>
                <w:b/>
                <w:i w:val="0"/>
                <w:color w:val="2B2B2B"/>
                <w:sz w:val="20"/>
              </w:rPr>
              <w:t>determinar</w:t>
            </w:r>
            <w:r>
              <w:rPr>
                <w:rFonts w:ascii="Aptos" w:hAnsi="Aptos" w:cs="Aptos" w:eastAsia="Aptos"/>
                <w:b w:val="0"/>
                <w:i w:val="0"/>
                <w:color w:val="2B2B2B"/>
                <w:sz w:val="20"/>
              </w:rPr>
              <w:t xml:space="preserve"> o encerramento de um alojamento; tem-na o diretor-geral, e tem-na não como sanção acessória de um processo de contraordenação, mas como medida de polícia administrativa autónoma, decidida em processo próprio e fundada, entre o mais, em </w:t>
            </w:r>
            <w:r>
              <w:rPr>
                <w:rFonts w:ascii="Aptos" w:hAnsi="Aptos" w:cs="Aptos" w:eastAsia="Aptos"/>
                <w:b/>
                <w:i w:val="0"/>
                <w:color w:val="2B2B2B"/>
                <w:sz w:val="20"/>
              </w:rPr>
              <w:t>maus tratos aos animais</w:t>
            </w:r>
            <w:r>
              <w:rPr>
                <w:rFonts w:ascii="Aptos" w:hAnsi="Aptos" w:cs="Aptos" w:eastAsia="Aptos"/>
                <w:b w:val="0"/>
                <w:i w:val="0"/>
                <w:color w:val="2B2B2B"/>
                <w:sz w:val="20"/>
              </w:rPr>
              <w:t xml:space="preserve"> e em </w:t>
            </w:r>
            <w:r>
              <w:rPr>
                <w:rFonts w:ascii="Aptos" w:hAnsi="Aptos" w:cs="Aptos" w:eastAsia="Aptos"/>
                <w:b/>
                <w:i w:val="0"/>
                <w:color w:val="2B2B2B"/>
                <w:sz w:val="20"/>
              </w:rPr>
              <w:t>graves problemas de saúde e bem-estar dos animais</w:t>
            </w:r>
            <w:r>
              <w:rPr>
                <w:rFonts w:ascii="Aptos" w:hAnsi="Aptos" w:cs="Aptos" w:eastAsia="Aptos"/>
                <w:b w:val="0"/>
                <w:i w:val="0"/>
                <w:color w:val="2B2B2B"/>
                <w:sz w:val="20"/>
              </w:rPr>
              <w:t>. O fundamento correto é o artigo 3.º-G, não os artigos 69.º e 70.º.</w:t>
            </w:r>
          </w:p>
          <w:p>
            <w:pPr>
              <w:spacing w:before="0" w:after="80" w:line="293" w:lineRule="auto"/>
              <w:jc w:val="both"/>
            </w:pPr>
            <w:r>
              <w:rPr>
                <w:rFonts w:ascii="Aptos" w:hAnsi="Aptos" w:cs="Aptos" w:eastAsia="Aptos"/>
                <w:b/>
                <w:i w:val="0"/>
                <w:color w:val="2B2B2B"/>
                <w:sz w:val="20"/>
              </w:rPr>
              <w:t>Segunda — existe uma segunda base legal expressa para a remoção municipal dos animais, e é esta.</w:t>
            </w:r>
            <w:r>
              <w:rPr>
                <w:rFonts w:ascii="Aptos" w:hAnsi="Aptos" w:cs="Aptos" w:eastAsia="Aptos"/>
                <w:b w:val="0"/>
                <w:i w:val="0"/>
                <w:color w:val="2B2B2B"/>
                <w:sz w:val="20"/>
              </w:rPr>
              <w:t xml:space="preserve"> O n.º 6 diz, literalmente: «Compete às câmaras municipais executar as medidas necessárias ao cumprimento da decisão […], nomeadamente proceder, quando necessário, </w:t>
            </w:r>
            <w:r>
              <w:rPr>
                <w:rFonts w:ascii="Aptos" w:hAnsi="Aptos" w:cs="Aptos" w:eastAsia="Aptos"/>
                <w:b/>
                <w:i w:val="0"/>
                <w:color w:val="2B2B2B"/>
                <w:sz w:val="20"/>
              </w:rPr>
              <w:t>à recolha dos animais</w:t>
            </w:r>
            <w:r>
              <w:rPr>
                <w:rFonts w:ascii="Aptos" w:hAnsi="Aptos" w:cs="Aptos" w:eastAsia="Aptos"/>
                <w:b w:val="0"/>
                <w:i w:val="0"/>
                <w:color w:val="2B2B2B"/>
                <w:sz w:val="20"/>
              </w:rPr>
              <w:t xml:space="preserve">». Até aqui a resposta à questão 8 assentava apenas no n.º 5 do artigo 3.º do Decreto-Lei n.º 314/2003. Passa a assentar em dois preceitos independentes, em dois diplomas diferentes, ambos a dizer o mesmo: </w:t>
            </w:r>
            <w:r>
              <w:rPr>
                <w:rFonts w:ascii="Aptos" w:hAnsi="Aptos" w:cs="Aptos" w:eastAsia="Aptos"/>
                <w:b/>
                <w:i w:val="0"/>
                <w:color w:val="2B2B2B"/>
                <w:sz w:val="20"/>
              </w:rPr>
              <w:t>a decisão é da autoridade sanitária, a recolha é do município</w:t>
            </w:r>
            <w:r>
              <w:rPr>
                <w:rFonts w:ascii="Aptos" w:hAnsi="Aptos" w:cs="Aptos" w:eastAsia="Aptos"/>
                <w:b w:val="0"/>
                <w:i w:val="0"/>
                <w:color w:val="2B2B2B"/>
                <w:sz w:val="20"/>
              </w:rPr>
              <w:t>.</w:t>
            </w:r>
          </w:p>
          <w:p>
            <w:pPr>
              <w:spacing w:before="0" w:after="0" w:line="293" w:lineRule="auto"/>
              <w:jc w:val="both"/>
            </w:pPr>
            <w:r>
              <w:rPr>
                <w:rFonts w:ascii="Aptos" w:hAnsi="Aptos" w:cs="Aptos" w:eastAsia="Aptos"/>
                <w:b/>
                <w:i w:val="0"/>
                <w:color w:val="2B2B2B"/>
                <w:sz w:val="20"/>
              </w:rPr>
              <w:t>Terceira — o despacho da DGAV de 2012 deixa de ser um episódio e passa a ser a aplicação da lei.</w:t>
            </w:r>
            <w:r>
              <w:rPr>
                <w:rFonts w:ascii="Aptos" w:hAnsi="Aptos" w:cs="Aptos" w:eastAsia="Aptos"/>
                <w:b w:val="0"/>
                <w:i w:val="0"/>
                <w:color w:val="2B2B2B"/>
                <w:sz w:val="20"/>
              </w:rPr>
              <w:t xml:space="preserve"> Se a DGAV determinou o encerramento e pediu à câmara diligências para retirar os animais, fez exatamente o que os n.ºs 5 e 6 mandam fazer. A divergência das notícias entre «retirar» e «encerrar» resolve-se: são as duas faces da mesma norma — o diretor-geral encerra, a câmara recolhe.</w:t>
            </w:r>
          </w:p>
        </w:tc>
      </w:tr>
    </w:tbl>
    <w:p>
      <w:pPr>
        <w:spacing w:before="0" w:after="180" w:line="293" w:lineRule="auto"/>
      </w:pPr>
    </w:p>
    <w:p>
      <w:pPr>
        <w:keepNext/>
        <w:spacing w:before="200" w:after="60" w:line="293" w:lineRule="auto"/>
      </w:pPr>
      <w:r>
        <w:rPr>
          <w:rFonts w:ascii="Aptos" w:hAnsi="Aptos" w:cs="Aptos" w:eastAsia="Aptos"/>
          <w:b/>
          <w:i w:val="0"/>
          <w:color w:val="5C7891"/>
          <w:sz w:val="19"/>
        </w:rPr>
        <w:t>Quem decide não executa: a dependência estrutural do artigo 3.º-G</w:t>
      </w:r>
    </w:p>
    <w:p>
      <w:pPr>
        <w:spacing w:before="0" w:after="140" w:line="293" w:lineRule="auto"/>
        <w:jc w:val="both"/>
      </w:pPr>
      <w:r>
        <w:rPr>
          <w:rFonts w:ascii="Aptos" w:hAnsi="Aptos" w:cs="Aptos" w:eastAsia="Aptos"/>
          <w:b w:val="0"/>
          <w:i w:val="0"/>
          <w:color w:val="2B2B2B"/>
          <w:sz w:val="20"/>
        </w:rPr>
        <w:t>A repartição que os n.ºs 1, 5 e 6 do artigo 3.º-G estabelecem foi enunciada em comissão parlamentar, na audição n.º 33-CAM-XIV de 30 de julho de 2020, por uma deputada que citava dados da Associação Nacional de Médicos Veterinários dos Municípios remetidos aos grupos parlamentares. Vale como confirmação de que a leitura aqui feita é a leitura corrente entre quem aplica a norma, e não uma construção deste estudo.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segundo o Decreto-Lei [276/2001], [de] 17 de outubro, é competência do Diretor-Geral da Alimenta[ção e] Veterinária a decisão de encerramento destes locais […]. Ainda segundo o mesmo diploma, [compete] às câmaras municipais executar as medidas necessárias ao cumprimento da decisão de encerramento destes locais.</w:t>
            </w:r>
          </w:p>
          <w:p>
            <w:pPr>
              <w:spacing w:before="120" w:after="0" w:line="293" w:lineRule="auto"/>
            </w:pPr>
            <w:r>
              <w:rPr>
                <w:rFonts w:ascii="Aptos" w:hAnsi="Aptos" w:cs="Aptos" w:eastAsia="Aptos"/>
                <w:b w:val="0"/>
                <w:i w:val="0"/>
                <w:color w:val="7C8894"/>
                <w:sz w:val="15"/>
              </w:rPr>
              <w:t>Audição parlamentar n.º 33-CAM-XIV, Comissão de Agricultura e Mar, 30.7.2020, [02:17:06–02:17:28]. Transcrição automática produzida no âmbito deste estudo, nos termos do anexo C.6; correções de reconhecimento entre parênteses retos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Daqui resulta a característica que interessa retirar, e que é independente do caso concreto: </w:t>
            </w:r>
            <w:r>
              <w:rPr>
                <w:rFonts w:ascii="Aptos" w:hAnsi="Aptos" w:cs="Aptos" w:eastAsia="Aptos"/>
                <w:b/>
                <w:i w:val="0"/>
                <w:color w:val="2B2B2B"/>
                <w:sz w:val="20"/>
              </w:rPr>
              <w:t>a autoridade que decide não é a autoridade que executa</w:t>
            </w:r>
            <w:r>
              <w:rPr>
                <w:rFonts w:ascii="Aptos" w:hAnsi="Aptos" w:cs="Aptos" w:eastAsia="Aptos"/>
                <w:b w:val="0"/>
                <w:i w:val="0"/>
                <w:color w:val="2B2B2B"/>
                <w:sz w:val="20"/>
              </w:rPr>
              <w:t>.</w:t>
            </w:r>
          </w:p>
          <w:p>
            <w:pPr>
              <w:spacing w:before="0" w:after="80" w:line="293" w:lineRule="auto"/>
              <w:jc w:val="both"/>
            </w:pPr>
            <w:r>
              <w:rPr>
                <w:rFonts w:ascii="Aptos" w:hAnsi="Aptos" w:cs="Aptos" w:eastAsia="Aptos"/>
                <w:b w:val="0"/>
                <w:i w:val="0"/>
                <w:color w:val="2B2B2B"/>
                <w:sz w:val="20"/>
              </w:rPr>
              <w:t xml:space="preserve">O diretor-geral de Alimentação e Veterinária determina o encerramento, por despacho, em processo próprio de polícia administrativa. Mas o encerramento efetivo e, sobretudo, </w:t>
            </w:r>
            <w:r>
              <w:rPr>
                <w:rFonts w:ascii="Aptos" w:hAnsi="Aptos" w:cs="Aptos" w:eastAsia="Aptos"/>
                <w:b/>
                <w:i w:val="0"/>
                <w:color w:val="2B2B2B"/>
                <w:sz w:val="20"/>
              </w:rPr>
              <w:t>a recolha dos animais</w:t>
            </w:r>
            <w:r>
              <w:rPr>
                <w:rFonts w:ascii="Aptos" w:hAnsi="Aptos" w:cs="Aptos" w:eastAsia="Aptos"/>
                <w:b w:val="0"/>
                <w:i w:val="0"/>
                <w:color w:val="2B2B2B"/>
                <w:sz w:val="20"/>
              </w:rPr>
              <w:t xml:space="preserve"> dependem de um ato de outra pessoa coletiva, a câmara municipal, a quem o n.º 6 comete a execução. Entre a decisão e o resultado há uma vontade que a lei não subordina à primeira.</w:t>
            </w:r>
          </w:p>
          <w:p>
            <w:pPr>
              <w:spacing w:before="0" w:after="0" w:line="293" w:lineRule="auto"/>
              <w:jc w:val="both"/>
            </w:pPr>
            <w:r>
              <w:rPr>
                <w:rFonts w:ascii="Aptos" w:hAnsi="Aptos" w:cs="Aptos" w:eastAsia="Aptos"/>
                <w:b w:val="0"/>
                <w:i w:val="0"/>
                <w:color w:val="2B2B2B"/>
                <w:sz w:val="20"/>
              </w:rPr>
              <w:t xml:space="preserve">O n.º 5 confirma que o legislador viu o problema e resolveu-o apenas em parte: fixa prazo não superior a cinco dias úteis para o alojamento cessar atividade, «sob pena de ser solicitado às autoridades administrativas e policiais competentes o encerramento compulsivo». </w:t>
            </w:r>
            <w:r>
              <w:rPr>
                <w:rFonts w:ascii="Aptos" w:hAnsi="Aptos" w:cs="Aptos" w:eastAsia="Aptos"/>
                <w:b/>
                <w:i w:val="0"/>
                <w:color w:val="2B2B2B"/>
                <w:sz w:val="20"/>
              </w:rPr>
              <w:t>Solicitado</w:t>
            </w:r>
            <w:r>
              <w:rPr>
                <w:rFonts w:ascii="Aptos" w:hAnsi="Aptos" w:cs="Aptos" w:eastAsia="Aptos"/>
                <w:b w:val="0"/>
                <w:i w:val="0"/>
                <w:color w:val="2B2B2B"/>
                <w:sz w:val="20"/>
              </w:rPr>
              <w:t xml:space="preserve"> — não determinado. Mesmo o mecanismo de reforço é um pedido.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Esta é a fragilidade do artigo 3.º-G, e não é de interpretação: é de desenho. Um regime em que a autoridade sanitária nacional decide e depende de terceiro para cumprir produz, sem que ninguém prevarique, decisões sem efeito. Vale como argumento de política legislativa a favor de atribuir à autoridade que decide, ou os meios de execução, ou um poder de substituição com prazo. Não altera a resposta à questão central, que continua a assentar na unidade de contagem do n.º 2 do artigo 3.º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O intervalo de 2019, e uma citação parlamentar desatualizada</w:t>
      </w:r>
    </w:p>
    <w:p>
      <w:pPr>
        <w:spacing w:before="0" w:after="140" w:line="293" w:lineRule="auto"/>
        <w:jc w:val="both"/>
      </w:pPr>
      <w:r>
        <w:rPr>
          <w:rFonts w:ascii="Aptos" w:hAnsi="Aptos" w:cs="Aptos" w:eastAsia="Aptos"/>
          <w:b w:val="0"/>
          <w:i w:val="0"/>
          <w:color w:val="2B2B2B"/>
          <w:sz w:val="20"/>
        </w:rPr>
        <w:t>Há um pormenor de vigência que explica uma confusão pública do caso. O artigo 3.º-G foi alterado pelo Decreto-Lei n.º 20/2019, de 30 de janeiro, que transferiu para os órgãos municipais competências no domínio da proteção e saúde animal. Nessa redação, o poder de encerrar passou para o presidente da câmara.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presidente da câmara municipal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w:t>
            </w:r>
          </w:p>
          <w:p>
            <w:pPr>
              <w:spacing w:before="0" w:after="0" w:line="293" w:lineRule="auto"/>
              <w:jc w:val="both"/>
            </w:pPr>
            <w:r>
              <w:rPr>
                <w:rFonts w:ascii="Aptos" w:hAnsi="Aptos" w:cs="Aptos" w:eastAsia="Aptos"/>
                <w:b w:val="0"/>
                <w:i/>
                <w:color w:val="2B2B2B"/>
                <w:sz w:val="19"/>
              </w:rPr>
              <w:t>6 — Compete ao presidente da câmara municipal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e 6 do artigo 3.º-G do Decreto-Lei n.º 276/2001, na redação dada pelo Decreto-Lei n.º 20/2019, conferida no Diário da República, 1.ª série, n.º 21, de 30 de janeiro de 2019, a páginas 671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Essa redação vigorou pouco: 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 fez cessar a vigência de todo o Decreto-Lei n.º 20/2019, repristinando o texto anterior. O poder de encerrar voltou ao diretor-geral, e assim está hoje.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Período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determina o encerramento</w:t>
            </w:r>
          </w:p>
        </w:tc>
        <w:tc>
          <w:tcPr>
            <w:tcW w:type="dxa" w:w="340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recolhe os animais</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29.1.2019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r>
        <w:trPr>
          <w:cantSplit/>
        </w:trPr>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30.1.2019 a 7.8.2019</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municipal</w:t>
            </w:r>
          </w:p>
        </w:tc>
        <w:tc>
          <w:tcPr>
            <w:tcW w:type="dxa" w:w="340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(n.º 6)</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8.8.2019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A imprecisão do lado oposto.</w:t>
            </w:r>
            <w:r>
              <w:rPr>
                <w:rFonts w:ascii="Aptos" w:hAnsi="Aptos" w:cs="Aptos" w:eastAsia="Aptos"/>
                <w:b w:val="0"/>
                <w:i w:val="0"/>
                <w:color w:val="2B2B2B"/>
                <w:sz w:val="19"/>
              </w:rPr>
              <w:t xml:space="preserve"> Na audição, o presidente da câmara invocou corretamente os dois diplomas — «decreto-lei n.º 20 de 2019 […] mas que depois não foi efetivado porque foi revogado […] por uma resolução da Assembleia da República, resolução n.º 138 de 2019, que faz cessar a sua vigência» (01:42:45 a 01:43:05) —, mas acrescentou que «nem nunca essa legislação chegou a ter entrado em vigor» (01:43:09). </w:t>
            </w:r>
            <w:r>
              <w:rPr>
                <w:rFonts w:ascii="Aptos" w:hAnsi="Aptos" w:cs="Aptos" w:eastAsia="Aptos"/>
                <w:b/>
                <w:i w:val="0"/>
                <w:color w:val="2B2B2B"/>
                <w:sz w:val="19"/>
              </w:rPr>
              <w:t>Não é assim.</w:t>
            </w:r>
            <w:r>
              <w:rPr>
                <w:rFonts w:ascii="Aptos" w:hAnsi="Aptos" w:cs="Aptos" w:eastAsia="Aptos"/>
                <w:b w:val="0"/>
                <w:i w:val="0"/>
                <w:color w:val="2B2B2B"/>
                <w:sz w:val="19"/>
              </w:rPr>
              <w:t xml:space="preserve"> O Decreto-Lei n.º 20/2019 entrou em vigor e vigorou pouco mais de seis meses, entre 30 de janeiro e 7 de agosto de 2019. A imprecisão é favorável à posição sustentada, como a do requerimento o era da posição contrária.</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Registe-se o que o confronto das duas imprecisões mostra: em julho de 2020, numa audição parlamentar dedicada ao caso, </w:t>
            </w:r>
            <w:r>
              <w:rPr>
                <w:rFonts w:ascii="Aptos" w:hAnsi="Aptos" w:cs="Aptos" w:eastAsia="Aptos"/>
                <w:b/>
                <w:i w:val="0"/>
                <w:color w:val="2B2B2B"/>
                <w:sz w:val="19"/>
              </w:rPr>
              <w:t>nenhum dos lados enunciou corretamente a vigência da norma de competência</w:t>
            </w:r>
            <w:r>
              <w:rPr>
                <w:rFonts w:ascii="Aptos" w:hAnsi="Aptos" w:cs="Aptos" w:eastAsia="Aptos"/>
                <w:b w:val="0"/>
                <w:i w:val="0"/>
                <w:color w:val="2B2B2B"/>
                <w:sz w:val="19"/>
              </w:rPr>
              <w:t>. Um citou a redação cessada como se vigorasse; o outro negou que tivesse vigorado. É a melhor ilustração possível da regra do ponto 18.2.</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Consequência para a leitura pública do caso.</w:t>
            </w:r>
            <w:r>
              <w:rPr>
                <w:rFonts w:ascii="Aptos" w:hAnsi="Aptos" w:cs="Aptos" w:eastAsia="Aptos"/>
                <w:b w:val="0"/>
                <w:i w:val="0"/>
                <w:color w:val="2B2B2B"/>
                <w:sz w:val="19"/>
              </w:rPr>
              <w:t xml:space="preserve"> O requerimento do Grupo Parlamentar do PAN de 22 de julho de 2020, que fundou a audição parlamentar do presidente da câmara, censura a autarquia por nunca ter encerrado os abrigos «conforme previsto no n.º 1 do artigo 3.º-G do Decreto-lei n-º 276/2001» e transcreve esse número na versão que o atribui ao presidente da câmara municipal. Ora essa redação havia cessado a sua vigência a </w:t>
            </w:r>
            <w:r>
              <w:rPr>
                <w:rFonts w:ascii="Aptos" w:hAnsi="Aptos" w:cs="Aptos" w:eastAsia="Aptos"/>
                <w:b/>
                <w:i w:val="0"/>
                <w:color w:val="2B2B2B"/>
                <w:sz w:val="19"/>
              </w:rPr>
              <w:t>8 de agosto de 2019</w:t>
            </w:r>
            <w:r>
              <w:rPr>
                <w:rFonts w:ascii="Aptos" w:hAnsi="Aptos" w:cs="Aptos" w:eastAsia="Aptos"/>
                <w:b w:val="0"/>
                <w:i w:val="0"/>
                <w:color w:val="2B2B2B"/>
                <w:sz w:val="19"/>
              </w:rPr>
              <w:t xml:space="preserve"> — quase um ano antes do incêndio. À data dos factos, e à data do requerimento, o poder de encerrar era do diretor-geral da DGAV.</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Não se retira disto juízo sobre a substância da censura política, que não é matéria deste estudo. Retira-se o que interessa ao método: </w:t>
            </w:r>
            <w:r>
              <w:rPr>
                <w:rFonts w:ascii="Aptos" w:hAnsi="Aptos" w:cs="Aptos" w:eastAsia="Aptos"/>
                <w:b/>
                <w:i w:val="0"/>
                <w:color w:val="2B2B2B"/>
                <w:sz w:val="19"/>
              </w:rPr>
              <w:t>a premissa normativa da audição parlamentar estava desatualizada</w:t>
            </w:r>
            <w:r>
              <w:rPr>
                <w:rFonts w:ascii="Aptos" w:hAnsi="Aptos" w:cs="Aptos" w:eastAsia="Aptos"/>
                <w:b w:val="0"/>
                <w:i w:val="0"/>
                <w:color w:val="2B2B2B"/>
                <w:sz w:val="19"/>
              </w:rPr>
              <w:t>, e num sentido que deslocava a responsabilidade. É exemplo do que o ponto 18.2 sustenta — a norma cita-se contra o jornal oficial e contra a data, sempre, inclusive quando a invoca um grupo parlamentar.</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presidente da câmara disse em 2020, e o que isso concede</w:t>
      </w:r>
    </w:p>
    <w:p>
      <w:pPr>
        <w:spacing w:before="0" w:after="140" w:line="293" w:lineRule="auto"/>
        <w:jc w:val="both"/>
      </w:pPr>
      <w:r>
        <w:rPr>
          <w:rFonts w:ascii="Aptos" w:hAnsi="Aptos" w:cs="Aptos" w:eastAsia="Aptos"/>
          <w:b w:val="0"/>
          <w:i w:val="0"/>
          <w:color w:val="2B2B2B"/>
          <w:sz w:val="20"/>
        </w:rPr>
        <w:t>A peça mais reveladora do caso não é a decisão penal: é o que o presidente da câmara respondeu na audição, confrontado com o documento da DGAV de 2012. Invocou o parecer de 2018 — «as câmaras municipais não têm competência para legalizar ou encerrar canis ilegais» (01:01:53) — mas acrescentou uma objeção de procedimento que vale mais do que a invocação.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deveriam notificar a proprietária primeiro, em primeira instância […] para em cinco dias poder encerrar aquilo. [Findos] esses cinco dias, então sim, de forma coerciva e compulsiva, deveria haver [intervenção] de duas entidades, uma administrativa, Câmara Municipal, e outra policial, no caso in concreto, Guarda Nacional Republicana. Para quê? Para encerrar esse canil.</w:t>
            </w:r>
          </w:p>
          <w:p>
            <w:pPr>
              <w:spacing w:before="120" w:after="0" w:line="293" w:lineRule="auto"/>
            </w:pPr>
            <w:r>
              <w:rPr>
                <w:rFonts w:ascii="Aptos" w:hAnsi="Aptos" w:cs="Aptos" w:eastAsia="Aptos"/>
                <w:b w:val="0"/>
                <w:i w:val="0"/>
                <w:color w:val="7C8894"/>
                <w:sz w:val="15"/>
              </w:rPr>
              <w:t>Audição parlamentar n.º 32-CAM-XIV, 30.7.2020, 01:44:47 a 01:45:12 — transcrição automática (ver Anexo C.6)</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Leia-se ao lado do n.º 5 e do n.º 6 do artigo 3.º. O autarca descreve exatamente a sequência legal — </w:t>
            </w:r>
            <w:r>
              <w:rPr>
                <w:rFonts w:ascii="Aptos" w:hAnsi="Aptos" w:cs="Aptos" w:eastAsia="Aptos"/>
                <w:b/>
                <w:i w:val="0"/>
                <w:color w:val="2B2B2B"/>
                <w:sz w:val="20"/>
              </w:rPr>
              <w:t>notificação do detentor com prazo</w:t>
            </w:r>
            <w:r>
              <w:rPr>
                <w:rFonts w:ascii="Aptos" w:hAnsi="Aptos" w:cs="Aptos" w:eastAsia="Aptos"/>
                <w:b w:val="0"/>
                <w:i w:val="0"/>
                <w:color w:val="2B2B2B"/>
                <w:sz w:val="20"/>
              </w:rPr>
              <w:t xml:space="preserve">, e só depois recurso à «autoridade administrativa» e à autoridade policial —, e identifica a autoridade administrativa dessa sequência nestes termos: «uma administrativa, </w:t>
            </w:r>
            <w:r>
              <w:rPr>
                <w:rFonts w:ascii="Aptos" w:hAnsi="Aptos" w:cs="Aptos" w:eastAsia="Aptos"/>
                <w:b/>
                <w:i w:val="0"/>
                <w:color w:val="2B2B2B"/>
                <w:sz w:val="20"/>
              </w:rPr>
              <w:t>Câmara Municipal</w:t>
            </w:r>
            <w:r>
              <w:rPr>
                <w:rFonts w:ascii="Aptos" w:hAnsi="Aptos" w:cs="Aptos" w:eastAsia="Aptos"/>
                <w:b w:val="0"/>
                <w:i w:val="0"/>
                <w:color w:val="2B2B2B"/>
                <w:sz w:val="20"/>
              </w:rPr>
              <w:t>».</w:t>
            </w:r>
          </w:p>
          <w:p>
            <w:pPr>
              <w:spacing w:before="0" w:after="0" w:line="293" w:lineRule="auto"/>
              <w:jc w:val="both"/>
            </w:pPr>
            <w:r>
              <w:rPr>
                <w:rFonts w:ascii="Aptos" w:hAnsi="Aptos" w:cs="Aptos" w:eastAsia="Aptos"/>
                <w:b w:val="0"/>
                <w:i w:val="0"/>
                <w:color w:val="2B2B2B"/>
                <w:sz w:val="20"/>
              </w:rPr>
              <w:t xml:space="preserve">Isto é uma concessão, e é a que interessa. O que o presidente da câmara nega é ter competência para </w:t>
            </w:r>
            <w:r>
              <w:rPr>
                <w:rFonts w:ascii="Aptos" w:hAnsi="Aptos" w:cs="Aptos" w:eastAsia="Aptos"/>
                <w:b/>
                <w:i w:val="0"/>
                <w:color w:val="2B2B2B"/>
                <w:sz w:val="20"/>
              </w:rPr>
              <w:t>encerrar</w:t>
            </w:r>
            <w:r>
              <w:rPr>
                <w:rFonts w:ascii="Aptos" w:hAnsi="Aptos" w:cs="Aptos" w:eastAsia="Aptos"/>
                <w:b w:val="0"/>
                <w:i w:val="0"/>
                <w:color w:val="2B2B2B"/>
                <w:sz w:val="20"/>
              </w:rPr>
              <w:t xml:space="preserve"> — e nisso tem razão, pelo n.º 1 do artigo 3.º-G. O que ele </w:t>
            </w:r>
            <w:r>
              <w:rPr>
                <w:rFonts w:ascii="Aptos" w:hAnsi="Aptos" w:cs="Aptos" w:eastAsia="Aptos"/>
                <w:b/>
                <w:i w:val="0"/>
                <w:color w:val="2B2B2B"/>
                <w:sz w:val="20"/>
              </w:rPr>
              <w:t>não</w:t>
            </w:r>
            <w:r>
              <w:rPr>
                <w:rFonts w:ascii="Aptos" w:hAnsi="Aptos" w:cs="Aptos" w:eastAsia="Aptos"/>
                <w:b w:val="0"/>
                <w:i w:val="0"/>
                <w:color w:val="2B2B2B"/>
                <w:sz w:val="20"/>
              </w:rPr>
              <w:t xml:space="preserve"> nega é ser a câmara a autoridade administrativa que intervém depois da notificação. Nega-se a competência que a lei não lhe dá, e admite-se a posição que a lei lhe atribui — que é, palavra por palavra, a do n.º 6 do mesmo artigo.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 a descrição é exata — o que obriga a retirar um reparo deste estudo.</w:t>
            </w:r>
            <w:r>
              <w:rPr>
                <w:rFonts w:ascii="Aptos" w:hAnsi="Aptos" w:cs="Aptos" w:eastAsia="Aptos"/>
                <w:b w:val="0"/>
                <w:i w:val="0"/>
                <w:color w:val="2B2B2B"/>
                <w:sz w:val="20"/>
              </w:rPr>
              <w:t xml:space="preserve"> Em versão anterior, feita a partir de paráfrase de imprensa, apontou-se aqui um «erro na descrição» do procedimento. Obtida a gravação, o reparo não se sustenta e retira-se. Os «cinco dias» são o n.º 5 do artigo 3.º-G — «no prazo fixado pela DGAV, o qual não deve exceder </w:t>
            </w:r>
            <w:r>
              <w:rPr>
                <w:rFonts w:ascii="Aptos" w:hAnsi="Aptos" w:cs="Aptos" w:eastAsia="Aptos"/>
                <w:b/>
                <w:i w:val="0"/>
                <w:color w:val="2B2B2B"/>
                <w:sz w:val="20"/>
              </w:rPr>
              <w:t>cinco dias úteis</w:t>
            </w:r>
            <w:r>
              <w:rPr>
                <w:rFonts w:ascii="Aptos" w:hAnsi="Aptos" w:cs="Aptos" w:eastAsia="Aptos"/>
                <w:b w:val="0"/>
                <w:i w:val="0"/>
                <w:color w:val="2B2B2B"/>
                <w:sz w:val="20"/>
              </w:rPr>
              <w:t xml:space="preserve">, sob pena de ser solicitado às </w:t>
            </w:r>
            <w:r>
              <w:rPr>
                <w:rFonts w:ascii="Aptos" w:hAnsi="Aptos" w:cs="Aptos" w:eastAsia="Aptos"/>
                <w:b/>
                <w:i w:val="0"/>
                <w:color w:val="2B2B2B"/>
                <w:sz w:val="20"/>
              </w:rPr>
              <w:t>autoridades administrativas e policiais competentes</w:t>
            </w:r>
            <w:r>
              <w:rPr>
                <w:rFonts w:ascii="Aptos" w:hAnsi="Aptos" w:cs="Aptos" w:eastAsia="Aptos"/>
                <w:b w:val="0"/>
                <w:i w:val="0"/>
                <w:color w:val="2B2B2B"/>
                <w:sz w:val="20"/>
              </w:rPr>
              <w:t xml:space="preserve"> o encerramento compulsivo». O autarca estava a descrever, com precisão, a norma que acabou de se transcrever. O que ele chamou «autoridade administrativa, neste caso a câmara» é o que o n.º 6 chama, sem margem para dúvida, «compete às câmaras municipais executar […], nomeadamente proceder […] à recolha dos animais».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Fica assim esclarecido o que este estudo tinha por resolver quanto à questão 8 e resolvia com uma só norma. A defesa pública do município, em 2020, não foi a de não ter poderes: foi a de que a DGAV não teria percorrido o procedimento que faz nascer o dever municipal de executar. É uma objeção de procedimento, e pressupõe necessariamente a competência que se diz não ter sido acionada.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Duas coisas distintas, e convém não as somar. Que o município seja a autoridade de execução é agora seguro, e por duas vias — n.º 6 do artigo 3.º-G do Decreto-Lei n.º 276/2001 e n.º 5 do artigo 3.º do Decreto-Lei n.º 314/2003. Que o município deva agir por iniciativa própria sem decisão prévia da DGAV é outra questão, e a resposta difere entre as duas vias: no artigo 3.º-G a câmara executa uma decisão alheia; no n.º 5 do artigo 3.º é a própria câmara que notifica, após vistoria conjunta do delegado de saúde e do médico veterinário municipal. </w:t>
            </w:r>
            <w:r>
              <w:rPr>
                <w:rFonts w:ascii="Aptos" w:hAnsi="Aptos" w:cs="Aptos" w:eastAsia="Aptos"/>
                <w:b/>
                <w:i w:val="0"/>
                <w:color w:val="2B2B2B"/>
                <w:sz w:val="19"/>
              </w:rPr>
              <w:t>A segunda via é autónoma; a primeira não.</w:t>
            </w:r>
            <w:r>
              <w:rPr>
                <w:rFonts w:ascii="Aptos" w:hAnsi="Aptos" w:cs="Aptos" w:eastAsia="Aptos"/>
                <w:b w:val="0"/>
                <w:i w:val="0"/>
                <w:color w:val="2B2B2B"/>
                <w:sz w:val="19"/>
              </w:rPr>
              <w:t xml:space="preserve"> Quem quiser sustentar a inércia municipal como legalmente imposta tem de responder pela segunda, e ninguém, no caso, o fez.</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Divergência de fonte, assinalada.</w:t>
            </w:r>
            <w:r>
              <w:rPr>
                <w:rFonts w:ascii="Aptos" w:hAnsi="Aptos" w:cs="Aptos" w:eastAsia="Aptos"/>
                <w:b w:val="0"/>
                <w:i w:val="0"/>
                <w:color w:val="2B2B2B"/>
                <w:sz w:val="19"/>
              </w:rPr>
              <w:t xml:space="preserve"> As notícias não coincidem quanto ao conteúdo do documento da DGAV de 2012: umas dizem que «solicitava diligências à câmara» para </w:t>
            </w:r>
            <w:r>
              <w:rPr>
                <w:rFonts w:ascii="Aptos" w:hAnsi="Aptos" w:cs="Aptos" w:eastAsia="Aptos"/>
                <w:b/>
                <w:i w:val="0"/>
                <w:color w:val="2B2B2B"/>
                <w:sz w:val="19"/>
              </w:rPr>
              <w:t>retirar os animais</w:t>
            </w:r>
            <w:r>
              <w:rPr>
                <w:rFonts w:ascii="Aptos" w:hAnsi="Aptos" w:cs="Aptos" w:eastAsia="Aptos"/>
                <w:b w:val="0"/>
                <w:i w:val="0"/>
                <w:color w:val="2B2B2B"/>
                <w:sz w:val="19"/>
              </w:rPr>
              <w:t xml:space="preserve">, outras que solicitava o </w:t>
            </w:r>
            <w:r>
              <w:rPr>
                <w:rFonts w:ascii="Aptos" w:hAnsi="Aptos" w:cs="Aptos" w:eastAsia="Aptos"/>
                <w:b/>
                <w:i w:val="0"/>
                <w:color w:val="2B2B2B"/>
                <w:sz w:val="19"/>
              </w:rPr>
              <w:t>encerramento</w:t>
            </w:r>
            <w:r>
              <w:rPr>
                <w:rFonts w:ascii="Aptos" w:hAnsi="Aptos" w:cs="Aptos" w:eastAsia="Aptos"/>
                <w:b w:val="0"/>
                <w:i w:val="0"/>
                <w:color w:val="2B2B2B"/>
                <w:sz w:val="19"/>
              </w:rPr>
              <w:t xml:space="preserve"> do abrigo. A diferença não é de somenos, porque as duas coisas têm regimes distintos e autoridades distintas. Não se obteve o documento; o estudo não fixa a sua redação.</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coerência interna favorece a primeira versão. A DGAV não precisaria de pedir à câmara que encerrasse, porque o encerramento é competência sua, pelos artigos 69.º e 70.º do Decreto-Lei n.º 276/2001. Pedir à câmara que </w:t>
            </w:r>
            <w:r>
              <w:rPr>
                <w:rFonts w:ascii="Aptos" w:hAnsi="Aptos" w:cs="Aptos" w:eastAsia="Aptos"/>
                <w:b/>
                <w:i w:val="0"/>
                <w:color w:val="2B2B2B"/>
                <w:sz w:val="19"/>
              </w:rPr>
              <w:t>retire os animais</w:t>
            </w:r>
            <w:r>
              <w:rPr>
                <w:rFonts w:ascii="Aptos" w:hAnsi="Aptos" w:cs="Aptos" w:eastAsia="Aptos"/>
                <w:b w:val="0"/>
                <w:i w:val="0"/>
                <w:color w:val="2B2B2B"/>
                <w:sz w:val="19"/>
              </w:rPr>
              <w:t xml:space="preserve"> é, ao contrário, exatamente o que a lei manda pedir-lhe — é o n.º 5 do artigo 3.º. Mas isto é inferência a partir da arquitetura legal, não leitura do documento.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A raiz institucional: o estatuto do médico veterinário municipal</w:t>
      </w:r>
    </w:p>
    <w:p>
      <w:pPr>
        <w:spacing w:before="0" w:after="140" w:line="293" w:lineRule="auto"/>
        <w:jc w:val="both"/>
      </w:pPr>
      <w:r>
        <w:rPr>
          <w:rFonts w:ascii="Aptos" w:hAnsi="Aptos" w:cs="Aptos" w:eastAsia="Aptos"/>
          <w:b w:val="0"/>
          <w:i w:val="0"/>
          <w:color w:val="2B2B2B"/>
          <w:sz w:val="20"/>
        </w:rPr>
        <w:t xml:space="preserve">O esclarecimento do Governo de 21 de julho de 2020 invoca, ao lado do Decreto-Lei n.º 276/2001, o artigo 4.º do Decreto-Lei n.º 116/98, de 5 de maio. A remissão não é decorativa: é aí que está a explicação institucional do sucedido, e é matéria que este estudo não tinha tratado. O diploma desenha o médico veterinário municipal com </w:t>
      </w:r>
      <w:r>
        <w:rPr>
          <w:rFonts w:ascii="Aptos" w:hAnsi="Aptos" w:cs="Aptos" w:eastAsia="Aptos"/>
          <w:b/>
          <w:i w:val="0"/>
          <w:color w:val="2B2B2B"/>
          <w:sz w:val="20"/>
        </w:rPr>
        <w:t>duas cabeças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O médico veterinário municipal é a autoridade sanitária veterinária concelhia, a nível da respectiva área geográfica de actuação, quando no exercício das atribuições que lhe estão legalmente cometidas.</w:t>
            </w:r>
          </w:p>
          <w:p>
            <w:pPr>
              <w:spacing w:before="0" w:after="80" w:line="293" w:lineRule="auto"/>
              <w:jc w:val="both"/>
            </w:pPr>
            <w:r>
              <w:rPr>
                <w:rFonts w:ascii="Aptos" w:hAnsi="Aptos" w:cs="Aptos" w:eastAsia="Aptos"/>
                <w:b w:val="0"/>
                <w:i/>
                <w:color w:val="2B2B2B"/>
                <w:sz w:val="19"/>
              </w:rPr>
              <w:t>3 — Os poderes de autoridade sanitária veterinária são conferidos aos médicos veterinários municipais, por inerência de cargo, pela Direcção-Geral de Veterinária (DGV), enquanto autoridade sanitária veterinária nacional, e pela Direcção-Geral de Fiscalização e Controlo da Qualidade Alimentar (DGFCQA), a título pessoal, não delegável e abrangendo a actividade por eles exercida na respectiva área concelhia, quando esteja em causa a sanidade animal ou a saúde pública.</w:t>
            </w:r>
          </w:p>
          <w:p>
            <w:pPr>
              <w:spacing w:before="0" w:after="0" w:line="293" w:lineRule="auto"/>
              <w:jc w:val="both"/>
            </w:pPr>
            <w:r>
              <w:rPr>
                <w:rFonts w:ascii="Aptos" w:hAnsi="Aptos" w:cs="Aptos" w:eastAsia="Aptos"/>
                <w:b w:val="0"/>
                <w:i/>
                <w:color w:val="2B2B2B"/>
                <w:sz w:val="19"/>
              </w:rPr>
              <w:t>4 — O exercício do poder de autoridade sanitária veterinária concelhia traduz-se na competência de, sem dependência hierárquica, tomar qualquer decisão, por necessidade técnica ou científica, que entenda indispensável ou relevante para a prevenção e correcção de factores ou situações susceptíveis de causarem prejuízos graves à saúde pública, bem como nas competências relativas à garantia de salubridade dos produtos de origem animal.</w:t>
            </w:r>
          </w:p>
          <w:p>
            <w:pPr>
              <w:spacing w:before="120" w:after="0" w:line="293" w:lineRule="auto"/>
            </w:pPr>
            <w:r>
              <w:rPr>
                <w:rFonts w:ascii="Aptos" w:hAnsi="Aptos" w:cs="Aptos" w:eastAsia="Aptos"/>
                <w:b w:val="0"/>
                <w:i w:val="0"/>
                <w:color w:val="7C8894"/>
                <w:sz w:val="15"/>
              </w:rPr>
              <w:t>N.ºs 2, 3 e 4 do artigo 2.º do Decreto-Lei n.º 116/98, de 5 de maio, conferido no Diário da República, I série-A, n.º 103, de 5.5.1998, p. 1990</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médicos veterinários municipais dependem, hierárquica e disciplinarmente, do presidente da câmara da respectiva área da sua intervenção.</w:t>
            </w:r>
          </w:p>
          <w:p>
            <w:pPr>
              <w:spacing w:before="120" w:after="0" w:line="293" w:lineRule="auto"/>
            </w:pPr>
            <w:r>
              <w:rPr>
                <w:rFonts w:ascii="Aptos" w:hAnsi="Aptos" w:cs="Aptos" w:eastAsia="Aptos"/>
                <w:b w:val="0"/>
                <w:i w:val="0"/>
                <w:color w:val="7C8894"/>
                <w:sz w:val="15"/>
              </w:rPr>
              <w:t>N.º 1 do artigo 4.º do Decreto-Lei n.º 116/98, no mesmo lugar</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4.º prossegue, e é aqui que a arquitetura se fecha.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As relações funcionais dos médicos veterinários com o MADRP são asseguradas através das direcções regionais de agricultura e da articulação destas com a DGV e a DGFCQA, consoante a natureza das respectivas atribuições.</w:t>
            </w:r>
          </w:p>
          <w:p>
            <w:pPr>
              <w:spacing w:before="0" w:after="80" w:line="293" w:lineRule="auto"/>
              <w:jc w:val="both"/>
            </w:pPr>
            <w:r>
              <w:rPr>
                <w:rFonts w:ascii="Aptos" w:hAnsi="Aptos" w:cs="Aptos" w:eastAsia="Aptos"/>
                <w:b w:val="0"/>
                <w:i/>
                <w:color w:val="2B2B2B"/>
                <w:sz w:val="19"/>
              </w:rPr>
              <w:t>3 — Entre os médicos veterinários municipais e os serviços mencionados no número anterior será estabelecido um programa de contactos regulares, sem prejuízo da possibilidade de convocação extraordinária por motivo urgente.</w:t>
            </w:r>
          </w:p>
          <w:p>
            <w:pPr>
              <w:spacing w:before="0" w:after="0" w:line="293" w:lineRule="auto"/>
              <w:jc w:val="both"/>
            </w:pPr>
            <w:r>
              <w:rPr>
                <w:rFonts w:ascii="Aptos" w:hAnsi="Aptos" w:cs="Aptos" w:eastAsia="Aptos"/>
                <w:b w:val="0"/>
                <w:i/>
                <w:color w:val="2B2B2B"/>
                <w:sz w:val="19"/>
              </w:rPr>
              <w:t>4 — Em caso de concorrência de obrigações, prevalece o serviço municipal.</w:t>
            </w:r>
          </w:p>
          <w:p>
            <w:pPr>
              <w:spacing w:before="120" w:after="0" w:line="293" w:lineRule="auto"/>
            </w:pPr>
            <w:r>
              <w:rPr>
                <w:rFonts w:ascii="Aptos" w:hAnsi="Aptos" w:cs="Aptos" w:eastAsia="Aptos"/>
                <w:b w:val="0"/>
                <w:i w:val="0"/>
                <w:color w:val="7C8894"/>
                <w:sz w:val="15"/>
              </w:rPr>
              <w:t>N.ºs 2, 3 e 4 do artigo 4.º do Decreto-Lei n.º 116/98, no mesmo lugar</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Cotejadas, estas normas dizem isto: nas decisões de autoridade sanitária o médico veterinário municipal decide </w:t>
      </w:r>
      <w:r>
        <w:rPr>
          <w:rFonts w:ascii="Aptos" w:hAnsi="Aptos" w:cs="Aptos" w:eastAsia="Aptos"/>
          <w:b/>
          <w:i w:val="0"/>
          <w:color w:val="2B2B2B"/>
          <w:sz w:val="20"/>
        </w:rPr>
        <w:t>sem dependência hierárquica</w:t>
      </w:r>
      <w:r>
        <w:rPr>
          <w:rFonts w:ascii="Aptos" w:hAnsi="Aptos" w:cs="Aptos" w:eastAsia="Aptos"/>
          <w:b w:val="0"/>
          <w:i w:val="0"/>
          <w:color w:val="2B2B2B"/>
          <w:sz w:val="20"/>
        </w:rPr>
        <w:t xml:space="preserve">, com poderes que lhe vêm da autoridade nacional </w:t>
      </w:r>
      <w:r>
        <w:rPr>
          <w:rFonts w:ascii="Aptos" w:hAnsi="Aptos" w:cs="Aptos" w:eastAsia="Aptos"/>
          <w:b/>
          <w:i w:val="0"/>
          <w:color w:val="2B2B2B"/>
          <w:sz w:val="20"/>
        </w:rPr>
        <w:t>a título pessoal e não delegável</w:t>
      </w:r>
      <w:r>
        <w:rPr>
          <w:rFonts w:ascii="Aptos" w:hAnsi="Aptos" w:cs="Aptos" w:eastAsia="Aptos"/>
          <w:b w:val="0"/>
          <w:i w:val="0"/>
          <w:color w:val="2B2B2B"/>
          <w:sz w:val="20"/>
        </w:rPr>
        <w:t>; em tudo o mais — carreira, avaliação, disciplina — depende do presidente da câmara. É um funcionário do município investido de um poder que o município não lhe deu e não lhe pode retirar, e que responde disciplinarmente perante quem não comanda esse poder.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Há aqui uma terceira linha, e é a decisiva para compreender a posição institucional.</w:t>
            </w:r>
          </w:p>
          <w:p>
            <w:pPr>
              <w:spacing w:before="0" w:after="80" w:line="293" w:lineRule="auto"/>
              <w:jc w:val="both"/>
            </w:pPr>
            <w:r>
              <w:rPr>
                <w:rFonts w:ascii="Aptos" w:hAnsi="Aptos" w:cs="Aptos" w:eastAsia="Aptos"/>
                <w:b/>
                <w:i w:val="0"/>
                <w:color w:val="2B2B2B"/>
                <w:sz w:val="20"/>
              </w:rPr>
              <w:t>A linha hierárquica e disciplinar corre para o presidente da câmara; a linha funcional corre para o ministério.</w:t>
            </w:r>
            <w:r>
              <w:rPr>
                <w:rFonts w:ascii="Aptos" w:hAnsi="Aptos" w:cs="Aptos" w:eastAsia="Aptos"/>
                <w:b w:val="0"/>
                <w:i w:val="0"/>
                <w:color w:val="2B2B2B"/>
                <w:sz w:val="20"/>
              </w:rPr>
              <w:t xml:space="preserve"> O n.º 1 sujeita o médico veterinário municipal ao presidente da câmara quanto à carreira e à disciplina. O n.º 2 faz as suas relações funcionais passarem pelas direções regionais de agricultura e pela articulação destas com a autoridade sanitária veterinária nacional. Quem tem de executar a decisão nacional responde disciplinarmente a quem a não tomou.</w:t>
            </w:r>
          </w:p>
          <w:p>
            <w:pPr>
              <w:spacing w:before="0" w:after="0" w:line="293" w:lineRule="auto"/>
              <w:jc w:val="both"/>
            </w:pPr>
            <w:r>
              <w:rPr>
                <w:rFonts w:ascii="Aptos" w:hAnsi="Aptos" w:cs="Aptos" w:eastAsia="Aptos"/>
                <w:b/>
                <w:i w:val="0"/>
                <w:color w:val="2B2B2B"/>
                <w:sz w:val="20"/>
              </w:rPr>
              <w:t>E, havendo conflito, a lei já escolheu.</w:t>
            </w:r>
            <w:r>
              <w:rPr>
                <w:rFonts w:ascii="Aptos" w:hAnsi="Aptos" w:cs="Aptos" w:eastAsia="Aptos"/>
                <w:b w:val="0"/>
                <w:i w:val="0"/>
                <w:color w:val="2B2B2B"/>
                <w:sz w:val="20"/>
              </w:rPr>
              <w:t xml:space="preserve"> O n.º 4 é lapidar: «Em caso de concorrência de obrigações, prevalece o serviço municipal». Não é uma lacuna nem uma zona cinzenta — é uma regra de prevalência escrita, e prevalece o lado que não decidiu o encerramento.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Cotejado o n.º 4 do artigo 4.º com o n.º 6 do artigo 3.º-G do Decreto-Lei n.º 276/2001, o sistema fica assim: a decisão de encerrar é do diretor-geral; a execução e a recolha dos animais são da câmara; o agente técnico que as tem de preparar depende disciplinarmente da câmara; e, se as obrigações concorrerem, prevalece o serviço municipal. Não é preciso supor má vontade de ninguém para explicar por que motivo uma decisão de encerramento pode ficar sem execução. </w:t>
            </w:r>
            <w:r>
              <w:rPr>
                <w:rFonts w:ascii="Aptos" w:hAnsi="Aptos" w:cs="Aptos" w:eastAsia="Aptos"/>
                <w:b/>
                <w:i w:val="0"/>
                <w:color w:val="2B2B2B"/>
                <w:sz w:val="19"/>
              </w:rPr>
              <w:t>É o que a lei dispõe.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Duas consequências, ambas relevantes para a questão 8:</w:t>
            </w:r>
          </w:p>
          <w:p>
            <w:pPr>
              <w:spacing w:before="0" w:after="80" w:line="293" w:lineRule="auto"/>
              <w:jc w:val="both"/>
            </w:pPr>
            <w:r>
              <w:rPr>
                <w:rFonts w:ascii="Aptos" w:hAnsi="Aptos" w:cs="Aptos" w:eastAsia="Aptos"/>
                <w:b/>
                <w:i w:val="0"/>
                <w:color w:val="2B2B2B"/>
                <w:sz w:val="20"/>
              </w:rPr>
              <w:t>Primeira — o caso é coerente com a resposta dada, não a contraria.</w:t>
            </w:r>
            <w:r>
              <w:rPr>
                <w:rFonts w:ascii="Aptos" w:hAnsi="Aptos" w:cs="Aptos" w:eastAsia="Aptos"/>
                <w:b w:val="0"/>
                <w:i w:val="0"/>
                <w:color w:val="2B2B2B"/>
                <w:sz w:val="20"/>
              </w:rPr>
              <w:t xml:space="preserve"> O poder que o n.º 4 do artigo 2.º confere ao médico veterinário municipal é um poder de decisão fundado em </w:t>
            </w:r>
            <w:r>
              <w:rPr>
                <w:rFonts w:ascii="Aptos" w:hAnsi="Aptos" w:cs="Aptos" w:eastAsia="Aptos"/>
                <w:b/>
                <w:i w:val="0"/>
                <w:color w:val="2B2B2B"/>
                <w:sz w:val="20"/>
              </w:rPr>
              <w:t>prejuízos graves à saúde pública</w:t>
            </w:r>
            <w:r>
              <w:rPr>
                <w:rFonts w:ascii="Aptos" w:hAnsi="Aptos" w:cs="Aptos" w:eastAsia="Aptos"/>
                <w:b w:val="0"/>
                <w:i w:val="0"/>
                <w:color w:val="2B2B2B"/>
                <w:sz w:val="20"/>
              </w:rPr>
              <w:t xml:space="preserve">. Animais a morrer num incêndio não são, em si, um problema de saúde pública: são um problema de bem-estar animal e de proteção civil. Se o tribunal concluiu que aquele titular não tinha poderes para ordenar a evacuação, a conclusão encaixa na arquitetura legal — e não põe em causa o n.º 5 do artigo 3.º do Decreto-Lei n.º 314/2003, que confere o poder de notificar para remoção </w:t>
            </w:r>
            <w:r>
              <w:rPr>
                <w:rFonts w:ascii="Aptos" w:hAnsi="Aptos" w:cs="Aptos" w:eastAsia="Aptos"/>
                <w:b/>
                <w:i w:val="0"/>
                <w:color w:val="2B2B2B"/>
                <w:sz w:val="20"/>
              </w:rPr>
              <w:t>à câmara municipal</w:t>
            </w:r>
            <w:r>
              <w:rPr>
                <w:rFonts w:ascii="Aptos" w:hAnsi="Aptos" w:cs="Aptos" w:eastAsia="Aptos"/>
                <w:b w:val="0"/>
                <w:i w:val="0"/>
                <w:color w:val="2B2B2B"/>
                <w:sz w:val="20"/>
              </w:rPr>
              <w:t>, órgão colegial, depois de vistoria conjunta, e por fundamento de salubridade. O veterinário municipal integra a vistoria; não é ele que notifica.</w:t>
            </w:r>
          </w:p>
          <w:p>
            <w:pPr>
              <w:spacing w:before="0" w:after="80" w:line="293" w:lineRule="auto"/>
              <w:jc w:val="both"/>
            </w:pPr>
            <w:r>
              <w:rPr>
                <w:rFonts w:ascii="Aptos" w:hAnsi="Aptos" w:cs="Aptos" w:eastAsia="Aptos"/>
                <w:b/>
                <w:i w:val="0"/>
                <w:color w:val="2B2B2B"/>
                <w:sz w:val="20"/>
              </w:rPr>
              <w:t>Segunda — está aqui a explicação da inércia, e é estrutural.</w:t>
            </w:r>
            <w:r>
              <w:rPr>
                <w:rFonts w:ascii="Aptos" w:hAnsi="Aptos" w:cs="Aptos" w:eastAsia="Aptos"/>
                <w:b w:val="0"/>
                <w:i w:val="0"/>
                <w:color w:val="2B2B2B"/>
                <w:sz w:val="20"/>
              </w:rPr>
              <w:t xml:space="preserve"> Quem tem de propor a medida impopular depende disciplinarmente de quem a suportaria politicamente. A lei quis blindar essa posição com a fórmula «sem dependência hierárquica», mas blindou-a apenas no perímetro da saúde pública e deixou intacta a dependência quanto a tudo o resto. Nos abrigos sem registo, onde o fundamento próprio é o bem-estar animal e não a saúde pública, a blindagem não cobre o ato.</w:t>
            </w:r>
          </w:p>
          <w:p>
            <w:pPr>
              <w:spacing w:before="0" w:after="0" w:line="293" w:lineRule="auto"/>
              <w:jc w:val="both"/>
            </w:pPr>
            <w:r>
              <w:rPr>
                <w:rFonts w:ascii="Aptos" w:hAnsi="Aptos" w:cs="Aptos" w:eastAsia="Aptos"/>
                <w:b/>
                <w:i w:val="0"/>
                <w:color w:val="2B2B2B"/>
                <w:sz w:val="20"/>
              </w:rPr>
              <w:t>E o caso ilustrou a assimetria em dois dias.</w:t>
            </w:r>
            <w:r>
              <w:rPr>
                <w:rFonts w:ascii="Aptos" w:hAnsi="Aptos" w:cs="Aptos" w:eastAsia="Aptos"/>
                <w:b w:val="0"/>
                <w:i w:val="0"/>
                <w:color w:val="2B2B2B"/>
                <w:sz w:val="20"/>
              </w:rPr>
              <w:t xml:space="preserve"> A 20 de julho de 2020 a câmara </w:t>
            </w:r>
            <w:r>
              <w:rPr>
                <w:rFonts w:ascii="Aptos" w:hAnsi="Aptos" w:cs="Aptos" w:eastAsia="Aptos"/>
                <w:b/>
                <w:i w:val="0"/>
                <w:color w:val="2B2B2B"/>
                <w:sz w:val="20"/>
              </w:rPr>
              <w:t>suspendeu o médico veterinário municipal</w:t>
            </w:r>
            <w:r>
              <w:rPr>
                <w:rFonts w:ascii="Aptos" w:hAnsi="Aptos" w:cs="Aptos" w:eastAsia="Aptos"/>
                <w:b w:val="0"/>
                <w:i w:val="0"/>
                <w:color w:val="2B2B2B"/>
                <w:sz w:val="20"/>
              </w:rPr>
              <w:t>. Podia fazê-lo, e sem discutir o mérito técnico de coisa alguma: é o n.º 1 do artigo 4.º a funcionar. O que a câmara não podia era dar-lhe ordem sobre uma decisão de autoridade sanitária, porque esse poder não lhe pertence — n.ºs 2 e 3 do artigo 2.º. Pode sancionar o titular; não pode comandar o poder. A lei separou as duas coisas no papel e reuniu-as na mesma relação de trabalho.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Não se leu a decisão. O que antecede resulta de notícias sobre a leitura oral do acórdão, e trata-se de absolvição em primeira instância, suscetível de recurso. </w:t>
            </w:r>
            <w:r>
              <w:rPr>
                <w:rFonts w:ascii="Aptos" w:hAnsi="Aptos" w:cs="Aptos" w:eastAsia="Aptos"/>
                <w:b/>
                <w:i w:val="0"/>
                <w:color w:val="2B2B2B"/>
                <w:sz w:val="19"/>
              </w:rPr>
              <w:t>Obter o texto da decisão é a diligência mais útil que este estudo tem pendente</w:t>
            </w:r>
            <w:r>
              <w:rPr>
                <w:rFonts w:ascii="Aptos" w:hAnsi="Aptos" w:cs="Aptos" w:eastAsia="Aptos"/>
                <w:b w:val="0"/>
                <w:i w:val="0"/>
                <w:color w:val="2B2B2B"/>
                <w:sz w:val="19"/>
              </w:rPr>
              <w:t xml:space="preserve">, e só depois dela se poderá afirmar com segurança o que o tribunal decidiu quanto a competências. Acresce que o PAN, assistente no processo, anunciou recurso: </w:t>
            </w:r>
            <w:r>
              <w:rPr>
                <w:rFonts w:ascii="Aptos" w:hAnsi="Aptos" w:cs="Aptos" w:eastAsia="Aptos"/>
                <w:b/>
                <w:i w:val="0"/>
                <w:color w:val="2B2B2B"/>
                <w:sz w:val="19"/>
              </w:rPr>
              <w:t>a decisão não transitou</w:t>
            </w:r>
            <w:r>
              <w:rPr>
                <w:rFonts w:ascii="Aptos" w:hAnsi="Aptos" w:cs="Aptos" w:eastAsia="Aptos"/>
                <w:b w:val="0"/>
                <w:i w:val="0"/>
                <w:color w:val="2B2B2B"/>
                <w:sz w:val="19"/>
              </w:rPr>
              <w:t xml:space="preserve"> e não pode ser invocada como afirmação estabilizada sobre competências municipais. Em julgamento, o próprio Ministério Público declarou não ver prova de crime — o que sugere uma absolvição decidida em matéria de facto e de imputação subjetiva, e não uma declaração de incompetência legal dos municípios; mas isto é hipótese até se ler o acórdão.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caso ilustra o custo da tese contrária tanto quanto o da tese aqui sustentada: se a câmara entende não ter poderes e a DGAV depende da câmara para executar, o sistema não protege ninguém. É argumento de política legislativa, não de interpretação — mas é o argumento mais forte a favor de uma revisão que atribua expressamente a competência e os meios.</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alteração de 2020: um poder novo, que o caso não conheceu</w:t>
      </w:r>
    </w:p>
    <w:p>
      <w:pPr>
        <w:spacing w:before="0" w:after="140" w:line="293" w:lineRule="auto"/>
        <w:jc w:val="both"/>
      </w:pPr>
      <w:r>
        <w:rPr>
          <w:rFonts w:ascii="Aptos" w:hAnsi="Aptos" w:cs="Aptos" w:eastAsia="Aptos"/>
          <w:b w:val="0"/>
          <w:i w:val="0"/>
          <w:color w:val="2B2B2B"/>
          <w:sz w:val="20"/>
        </w:rPr>
        <w:t>A Lei n.º 39/2020, de 18 de agosto, que «altera o regime sancionatório aplicável aos crimes contra animais de companhia, procedendo à quinquagésima alteração ao Código Penal, à trigésima sétima alteração ao Código de Processo Penal e à terceira alteração à Lei n.º 92/95, de 12 de setembro», aditou àquela lei um artigo que interessa diretamente a esta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before="0" w:after="0" w:line="293" w:lineRule="auto"/>
              <w:jc w:val="both"/>
            </w:pPr>
            <w:r>
              <w:rPr>
                <w:rFonts w:ascii="Aptos" w:hAnsi="Aptos" w:cs="Aptos" w:eastAsia="Aptos"/>
                <w:b w:val="0"/>
                <w:i/>
                <w:color w:val="2B2B2B"/>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120" w:after="0" w:line="293" w:lineRule="auto"/>
            </w:pPr>
            <w:r>
              <w:rPr>
                <w:rFonts w:ascii="Aptos" w:hAnsi="Aptos" w:cs="Aptos" w:eastAsia="Aptos"/>
                <w:b w:val="0"/>
                <w:i w:val="0"/>
                <w:color w:val="7C8894"/>
                <w:sz w:val="15"/>
              </w:rPr>
              <w:t>Artigo 1.º-A da Lei n.º 92/95, aditado pela Lei n.º 39/2020, conferido no Diário da República, 1.ª série, n.º 160, de 18 de agosto de 2020, a páginas 11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É um poder </w:t>
            </w:r>
            <w:r>
              <w:rPr>
                <w:rFonts w:ascii="Aptos" w:hAnsi="Aptos" w:cs="Aptos" w:eastAsia="Aptos"/>
                <w:b/>
                <w:i w:val="0"/>
                <w:color w:val="2B2B2B"/>
                <w:sz w:val="20"/>
              </w:rPr>
              <w:t>autónomo</w:t>
            </w:r>
            <w:r>
              <w:rPr>
                <w:rFonts w:ascii="Aptos" w:hAnsi="Aptos" w:cs="Aptos" w:eastAsia="Aptos"/>
                <w:b w:val="0"/>
                <w:i w:val="0"/>
                <w:color w:val="2B2B2B"/>
                <w:sz w:val="20"/>
              </w:rPr>
              <w:t xml:space="preserve"> de recolha ou captura, atribuído expressamente aos municípios, e formulado como </w:t>
            </w:r>
            <w:r>
              <w:rPr>
                <w:rFonts w:ascii="Aptos" w:hAnsi="Aptos" w:cs="Aptos" w:eastAsia="Aptos"/>
                <w:b/>
                <w:i w:val="0"/>
                <w:color w:val="2B2B2B"/>
                <w:sz w:val="20"/>
              </w:rPr>
              <w:t>dever</w:t>
            </w:r>
            <w:r>
              <w:rPr>
                <w:rFonts w:ascii="Aptos" w:hAnsi="Aptos" w:cs="Aptos" w:eastAsia="Aptos"/>
                <w:b w:val="0"/>
                <w:i w:val="0"/>
                <w:color w:val="2B2B2B"/>
                <w:sz w:val="20"/>
              </w:rPr>
              <w:t xml:space="preserve"> — «devem desencadear os meios». Não depende de fogo, de habitação, de registo do alojamento, nem do artigo 3.º do Decreto-Lei n.º 314/2003. O seu pressuposto é outro: a evidência de sinais da prática de crimes de maus-tratos.</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Fecha parte da lacuna do ponto 15.7</w:t>
      </w:r>
      <w:r>
        <w:rPr>
          <w:rFonts w:ascii="Aptos" w:hAnsi="Aptos" w:cs="Aptos" w:eastAsia="Aptos"/>
          <w:b w:val="0"/>
          <w:i w:val="0"/>
          <w:color w:val="2B2B2B"/>
          <w:sz w:val="20"/>
        </w:rPr>
        <w:t>, mas só parte: cobre o maus-tratos, não o mero excesso numérico nem a insalubridade que não chegue a ilícito criminal.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Confirma a linha do argumento do silêncio qualificado.</w:t>
      </w:r>
      <w:r>
        <w:rPr>
          <w:rFonts w:ascii="Aptos" w:hAnsi="Aptos" w:cs="Aptos" w:eastAsia="Aptos"/>
          <w:b w:val="0"/>
          <w:i w:val="0"/>
          <w:color w:val="2B2B2B"/>
          <w:sz w:val="20"/>
        </w:rPr>
        <w:t xml:space="preserve"> Quando o legislador quis atribuir aos municípios um poder de retirar animais, atribuiu-o expressamente, em norma própria e com o verbo no imperativo.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Uma assimetria a registar.</w:t>
      </w:r>
      <w:r>
        <w:rPr>
          <w:rFonts w:ascii="Aptos" w:hAnsi="Aptos" w:cs="Aptos" w:eastAsia="Aptos"/>
          <w:b w:val="0"/>
          <w:i w:val="0"/>
          <w:color w:val="2B2B2B"/>
          <w:sz w:val="20"/>
        </w:rPr>
        <w:t xml:space="preserve"> O mandado judicial do n.º 2 assegura o acesso «das forças de segurança ou órgãos de polícia criminal» — não dos municípios. O município que veja o acesso recusado não tem, por esta via, mandado próprio; terá de recorrer ao n.º 2 do artigo 67.º-A do Decreto-Lei n.º 276/2001, que o admite para as autoridades competentes, entre as quais figura, nos termos da al. x) do n.º 1 do artigo 2.º.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para a leitura do caso de Santo Tirso.</w:t>
            </w:r>
            <w:r>
              <w:rPr>
                <w:rFonts w:ascii="Aptos" w:hAnsi="Aptos" w:cs="Aptos" w:eastAsia="Aptos"/>
                <w:b w:val="0"/>
                <w:i w:val="0"/>
                <w:color w:val="2B2B2B"/>
                <w:sz w:val="19"/>
              </w:rPr>
              <w:t xml:space="preserve"> A Lei n.º 39/2020 foi aprovada em 23 de julho de 2020 e entrou em vigor, nos termos do seu artigo 6.º, «no primeiro dia do segundo mês seguinte ao da sua publicação» — </w:t>
            </w:r>
            <w:r>
              <w:rPr>
                <w:rFonts w:ascii="Aptos" w:hAnsi="Aptos" w:cs="Aptos" w:eastAsia="Aptos"/>
                <w:b/>
                <w:i w:val="0"/>
                <w:color w:val="2B2B2B"/>
                <w:sz w:val="19"/>
              </w:rPr>
              <w:t>1 de outubro de 2020</w:t>
            </w:r>
            <w:r>
              <w:rPr>
                <w:rFonts w:ascii="Aptos" w:hAnsi="Aptos" w:cs="Aptos" w:eastAsia="Aptos"/>
                <w:b w:val="0"/>
                <w:i w:val="0"/>
                <w:color w:val="2B2B2B"/>
                <w:sz w:val="19"/>
              </w:rPr>
              <w:t xml:space="preserve">. O incêndio ocorreu em 18 de julho de 2020. </w:t>
            </w:r>
            <w:r>
              <w:rPr>
                <w:rFonts w:ascii="Aptos" w:hAnsi="Aptos" w:cs="Aptos" w:eastAsia="Aptos"/>
                <w:b/>
                <w:i w:val="0"/>
                <w:color w:val="2B2B2B"/>
                <w:sz w:val="19"/>
              </w:rPr>
              <w:t>O poder do artigo 1.º-A não existia à data dos factos.</w:t>
            </w:r>
            <w:r>
              <w:rPr>
                <w:rFonts w:ascii="Aptos" w:hAnsi="Aptos" w:cs="Aptos" w:eastAsia="Aptos"/>
                <w:b w:val="0"/>
                <w:i w:val="0"/>
                <w:color w:val="2B2B2B"/>
                <w:sz w:val="19"/>
              </w:rPr>
              <w:t xml:space="preserve"> A absolvição não pode, por isso, ser lida como afirmando que os municípios carecem hoje de poderes de recolha. A proximidade de datas entre o incêndio e a aprovação é cronológica; o processo legislativo precedeu-o, e não se verificou se o caso influenciou o debate final.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9.6  </w:t>
      </w:r>
      <w:r>
        <w:rPr>
          <w:rFonts w:ascii="Aptos" w:hAnsi="Aptos" w:cs="Aptos" w:eastAsia="Aptos"/>
          <w:b/>
          <w:i w:val="0"/>
          <w:color w:val="35506B"/>
          <w:sz w:val="21"/>
        </w:rPr>
        <w:t>Especialidade ou posterioridade</w:t>
      </w:r>
    </w:p>
    <w:p>
      <w:pPr>
        <w:spacing w:before="0" w:after="140" w:line="293" w:lineRule="auto"/>
        <w:jc w:val="both"/>
      </w:pPr>
      <w:r>
        <w:rPr>
          <w:rFonts w:ascii="Aptos" w:hAnsi="Aptos" w:cs="Aptos" w:eastAsia="Aptos"/>
          <w:b w:val="0"/>
          <w:i w:val="0"/>
          <w:color w:val="2B2B2B"/>
          <w:sz w:val="20"/>
        </w:rPr>
        <w:t>A última questão só se põe a quem sustente que há conflito entre os dois diplomas. Este estudo sustenta que não há — os campos não se sobrepõem quanto aos números. Ainda assim, importa mostrar que, mesmo concedendo a premissa, nenhum dos dois critérios resolve a favor da tese contrária.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Quando se não destine a ter vigência temporária, a lei só deixa de vigorar se for revogada por outra lei.</w:t>
            </w:r>
          </w:p>
          <w:p>
            <w:pPr>
              <w:spacing w:before="0" w:after="0" w:line="293" w:lineRule="auto"/>
              <w:jc w:val="both"/>
            </w:pPr>
            <w:r>
              <w:rPr>
                <w:rFonts w:ascii="Aptos" w:hAnsi="Aptos" w:cs="Aptos" w:eastAsia="Aptos"/>
                <w:b w:val="0"/>
                <w:i/>
                <w:color w:val="2B2B2B"/>
                <w:sz w:val="19"/>
              </w:rPr>
              <w:t>3. A lei geral não revoga a lei especial, excepto se outra for a intenção inequívoca do legislador.</w:t>
            </w:r>
          </w:p>
          <w:p>
            <w:pPr>
              <w:spacing w:before="120" w:after="0" w:line="293" w:lineRule="auto"/>
            </w:pPr>
            <w:r>
              <w:rPr>
                <w:rFonts w:ascii="Aptos" w:hAnsi="Aptos" w:cs="Aptos" w:eastAsia="Aptos"/>
                <w:b w:val="0"/>
                <w:i w:val="0"/>
                <w:color w:val="7C8894"/>
                <w:sz w:val="15"/>
              </w:rPr>
              <w:t>N.ºs 1 e 3 do artigo 7.º do Código Civil, conferidos no Diário do Governo n.º 274, I série, de 25 de novembro de 1966, a páginas 1886</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posterioridade não favorece o Decreto-Lei n.º 314/2003, ao contrário do que parece.</w:t>
      </w:r>
      <w:r>
        <w:rPr>
          <w:rFonts w:ascii="Aptos" w:hAnsi="Aptos" w:cs="Aptos" w:eastAsia="Aptos"/>
          <w:b w:val="0"/>
          <w:i w:val="0"/>
          <w:color w:val="2B2B2B"/>
          <w:sz w:val="20"/>
        </w:rPr>
        <w:t xml:space="preserve"> É certo que é de 17 de dezembro de 2003 e o Decreto-Lei n.º 276/2001 é de 17 de outubro de 2001. Mas o artigo 3.º do primeiro </w:t>
      </w:r>
      <w:r>
        <w:rPr>
          <w:rFonts w:ascii="Aptos" w:hAnsi="Aptos" w:cs="Aptos" w:eastAsia="Aptos"/>
          <w:b/>
          <w:i w:val="0"/>
          <w:color w:val="2B2B2B"/>
          <w:sz w:val="20"/>
        </w:rPr>
        <w:t>nunca foi alterado</w:t>
      </w:r>
      <w:r>
        <w:rPr>
          <w:rFonts w:ascii="Aptos" w:hAnsi="Aptos" w:cs="Aptos" w:eastAsia="Aptos"/>
          <w:b w:val="0"/>
          <w:i w:val="0"/>
          <w:color w:val="2B2B2B"/>
          <w:sz w:val="20"/>
        </w:rPr>
        <w:t xml:space="preserve">, ao passo que o segundo foi revisto em 2003, 2007, 2012, 2017, 2019 e 2021. Confrontados os textos </w:t>
      </w:r>
      <w:r>
        <w:rPr>
          <w:rFonts w:ascii="Aptos" w:hAnsi="Aptos" w:cs="Aptos" w:eastAsia="Aptos"/>
          <w:b/>
          <w:i w:val="0"/>
          <w:color w:val="2B2B2B"/>
          <w:sz w:val="20"/>
        </w:rPr>
        <w:t>em vigor</w:t>
      </w:r>
      <w:r>
        <w:rPr>
          <w:rFonts w:ascii="Aptos" w:hAnsi="Aptos" w:cs="Aptos" w:eastAsia="Aptos"/>
          <w:b w:val="0"/>
          <w:i w:val="0"/>
          <w:color w:val="2B2B2B"/>
          <w:sz w:val="20"/>
        </w:rPr>
        <w:t>, o mais recente é o do diploma dos alojamentos.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 especialidade não resolve, porque os diplomas são especiais em planos diferentes.</w:t>
      </w:r>
      <w:r>
        <w:rPr>
          <w:rFonts w:ascii="Aptos" w:hAnsi="Aptos" w:cs="Aptos" w:eastAsia="Aptos"/>
          <w:b w:val="0"/>
          <w:i w:val="0"/>
          <w:color w:val="2B2B2B"/>
          <w:sz w:val="20"/>
        </w:rPr>
        <w:t xml:space="preserve"> O Decreto-Lei n.º 276/2001 é especial quanto à atividade de exploração de alojamentos; o Decreto-Lei n.º 314/2003 é especial quanto à polícia sanitária. O n.º 3 do artigo 7.º do Código Civil pressupõe uma relação de género e espécie que aqui não existe.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nenhum deles revogou o outro.</w:t>
      </w:r>
      <w:r>
        <w:rPr>
          <w:rFonts w:ascii="Aptos" w:hAnsi="Aptos" w:cs="Aptos" w:eastAsia="Aptos"/>
          <w:b w:val="0"/>
          <w:i w:val="0"/>
          <w:color w:val="2B2B2B"/>
          <w:sz w:val="20"/>
        </w:rPr>
        <w:t xml:space="preserve"> Nos termos do n.º 1 do artigo 7.º do Código Civil, a lei só deixa de vigorar se for revogada; nenhum dos dois o fez, nem expressa nem tacitamente, quanto a esta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instrumento correto não é a revogação, é a </w:t>
            </w:r>
            <w:r>
              <w:rPr>
                <w:rFonts w:ascii="Aptos" w:hAnsi="Aptos" w:cs="Aptos" w:eastAsia="Aptos"/>
                <w:b/>
                <w:i w:val="0"/>
                <w:color w:val="2B2B2B"/>
                <w:sz w:val="20"/>
              </w:rPr>
              <w:t>delimitação de âmbito</w:t>
            </w:r>
            <w:r>
              <w:rPr>
                <w:rFonts w:ascii="Aptos" w:hAnsi="Aptos" w:cs="Aptos" w:eastAsia="Aptos"/>
                <w:b w:val="0"/>
                <w:i w:val="0"/>
                <w:color w:val="2B2B2B"/>
                <w:sz w:val="20"/>
              </w:rPr>
              <w:t xml:space="preserve">. Os critérios do artigo 7.º do Código Civil servem para escolher entre normas incompatíveis; não servem para decidir se duas normas são incompatíveis. </w:t>
            </w:r>
            <w:r>
              <w:rPr>
                <w:rFonts w:ascii="Aptos" w:hAnsi="Aptos" w:cs="Aptos" w:eastAsia="Aptos"/>
                <w:b/>
                <w:i w:val="0"/>
                <w:color w:val="2B2B2B"/>
                <w:sz w:val="20"/>
              </w:rPr>
              <w:t>Efeito na conclusão: neutro</w:t>
            </w:r>
            <w:r>
              <w:rPr>
                <w:rFonts w:ascii="Aptos" w:hAnsi="Aptos" w:cs="Aptos" w:eastAsia="Aptos"/>
                <w:b w:val="0"/>
                <w:i w:val="0"/>
                <w:color w:val="2B2B2B"/>
                <w:sz w:val="20"/>
              </w:rPr>
              <w:t xml:space="preserve"> — e, se alguma coisa, o critério cronológico, bem aplicado, milita contra a tese da sobreposição.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9.7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 e doutrina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Segue-se o único estudo doutrinal que trata o artigo 3.º na perspetiva de quem o aplica, e o resultado da pesquisa exaustiva.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Há quem sustente que os limites do artigo 3.º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Doutrina — a análise contraordenacional de 2019</w:t>
      </w:r>
    </w:p>
    <w:p>
      <w:pPr>
        <w:spacing w:before="0" w:after="140" w:line="293" w:lineRule="auto"/>
        <w:jc w:val="both"/>
      </w:pPr>
      <w:r>
        <w:rPr>
          <w:rFonts w:ascii="Aptos" w:hAnsi="Aptos" w:cs="Aptos" w:eastAsia="Aptos"/>
          <w:b w:val="0"/>
          <w:i w:val="0"/>
          <w:color w:val="2B2B2B"/>
          <w:sz w:val="20"/>
        </w:rPr>
        <w:t>Localizou-se, e leu-se integralmente, o único estudo doutrinal que trata o artigo 3.º do ponto de vista de quem o aplica no terreno: Bruno Filipe Salvador da Silva Branco, «A detenção de animais de companhia — uma análise do ponto de vista contraordenacional», Revista Jurídica Luso-Brasileira, Ano 5 (2019), n.º 2, pp. 229-260. O autor é subcomissário da Polícia de Segurança Pública e pós-graduado em Direito dos Animais pelo CIDP da Faculdade de Direito de Lisboa. O interesse do texto não está em teses de autor, está em ser um levantamento sistemático do regime feito na perspetiva da fiscalização — e em confirmar, ponto por ponto, as leituras aqui sustentadas.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epígrafe com que arruma o artigo 3.º é «Limite de cães e gatos por habitação»</w:t>
      </w:r>
      <w:r>
        <w:rPr>
          <w:rFonts w:ascii="Aptos" w:hAnsi="Aptos" w:cs="Aptos" w:eastAsia="Aptos"/>
          <w:b w:val="0"/>
          <w:i w:val="0"/>
          <w:color w:val="2B2B2B"/>
          <w:sz w:val="20"/>
        </w:rPr>
        <w:t xml:space="preserve"> (p. 240). Não «por prédio», não «por alojamento», não «por estabelecimento»: por habitação. E ao tratar o n.º 4 escreve «Caso a </w:t>
      </w:r>
      <w:r>
        <w:rPr>
          <w:rFonts w:ascii="Aptos" w:hAnsi="Aptos" w:cs="Aptos" w:eastAsia="Aptos"/>
          <w:b/>
          <w:i w:val="0"/>
          <w:color w:val="2B2B2B"/>
          <w:sz w:val="20"/>
        </w:rPr>
        <w:t>habitação</w:t>
      </w:r>
      <w:r>
        <w:rPr>
          <w:rFonts w:ascii="Aptos" w:hAnsi="Aptos" w:cs="Aptos" w:eastAsia="Aptos"/>
          <w:b w:val="0"/>
          <w:i w:val="0"/>
          <w:color w:val="2B2B2B"/>
          <w:sz w:val="20"/>
        </w:rPr>
        <w:t xml:space="preserve"> seja considerada prédio rústico ou misto, podem ser alojados até seis animais adultos» (p. 241) — isto é, também aí o referente é a habitação, e a classificação predial é apenas o seu atributo. É exatamente a leitura do capítulo 5 e do ponto 15.2.</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Arruma o artigo 3.º entre as medidas de profilaxia da raiva</w:t>
      </w:r>
      <w:r>
        <w:rPr>
          <w:rFonts w:ascii="Aptos" w:hAnsi="Aptos" w:cs="Aptos" w:eastAsia="Aptos"/>
          <w:b w:val="0"/>
          <w:i w:val="0"/>
          <w:color w:val="2B2B2B"/>
          <w:sz w:val="20"/>
        </w:rPr>
        <w:t>, ao lado da vacinação antirrábica obrigatória e das regras de circulação na via pública (pp. 239-242). A sistemática do autor é a do ponto 7.1: o artigo 3.º é polícia sanitária, não direito do licenciamento.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Descreve a contraordenação da al. c) do n.º 3 do artigo 14.º como «Exceder o n.º de animais por fogo urbano (3 cães ou quatro gatos, num máximo de 4 animais)»</w:t>
      </w:r>
      <w:r>
        <w:rPr>
          <w:rFonts w:ascii="Aptos" w:hAnsi="Aptos" w:cs="Aptos" w:eastAsia="Aptos"/>
          <w:b w:val="0"/>
          <w:i w:val="0"/>
          <w:color w:val="2B2B2B"/>
          <w:sz w:val="20"/>
        </w:rPr>
        <w:t xml:space="preserve">, no quadro-resumo das principais ocorrências contraordenacionais (p. 254). O enunciado é o do ponto 9.3: a norma sancionatória tipifica o excesso </w:t>
      </w:r>
      <w:r>
        <w:rPr>
          <w:rFonts w:ascii="Aptos" w:hAnsi="Aptos" w:cs="Aptos" w:eastAsia="Aptos"/>
          <w:b/>
          <w:i w:val="0"/>
          <w:color w:val="2B2B2B"/>
          <w:sz w:val="20"/>
        </w:rPr>
        <w:t>por fogo</w:t>
      </w:r>
      <w:r>
        <w:rPr>
          <w:rFonts w:ascii="Aptos" w:hAnsi="Aptos" w:cs="Aptos" w:eastAsia="Aptos"/>
          <w:b w:val="0"/>
          <w:i w:val="0"/>
          <w:color w:val="2B2B2B"/>
          <w:sz w:val="20"/>
        </w:rPr>
        <w:t>, e não a lotação de um estabelecimento.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Indica a DGAV como entidade instrutória dessa contraordenação</w:t>
      </w:r>
      <w:r>
        <w:rPr>
          <w:rFonts w:ascii="Aptos" w:hAnsi="Aptos" w:cs="Aptos" w:eastAsia="Aptos"/>
          <w:b w:val="0"/>
          <w:i w:val="0"/>
          <w:color w:val="2B2B2B"/>
          <w:sz w:val="20"/>
        </w:rPr>
        <w:t xml:space="preserve"> (mesmo quadro), e no corpo do texto escreve que «O incumprimento das regras do artigo 3.º do PNLVERAZ constituem contraordenação, punível pelo diretor-geral da DGAV, pelo artigo 14.º, n.º 3, al. c)» (p. 241). Confirma a dissociação apurada no ponto 9.3 e no ponto 9.5: </w:t>
      </w:r>
      <w:r>
        <w:rPr>
          <w:rFonts w:ascii="Aptos" w:hAnsi="Aptos" w:cs="Aptos" w:eastAsia="Aptos"/>
          <w:b/>
          <w:i w:val="0"/>
          <w:color w:val="2B2B2B"/>
          <w:sz w:val="20"/>
        </w:rPr>
        <w:t>quem instrui e pune é a DGAV; quem notifica para remover é a câmara</w:t>
      </w:r>
      <w:r>
        <w:rPr>
          <w:rFonts w:ascii="Aptos" w:hAnsi="Aptos" w:cs="Aptos" w:eastAsia="Aptos"/>
          <w:b w:val="0"/>
          <w:i w:val="0"/>
          <w:color w:val="2B2B2B"/>
          <w:sz w:val="20"/>
        </w:rPr>
        <w:t>.</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i w:val="0"/>
          <w:color w:val="2B2B2B"/>
          <w:sz w:val="20"/>
        </w:rPr>
        <w:t>Confirma o percurso do poder de remoção tal como aqui se descreve</w:t>
      </w:r>
      <w:r>
        <w:rPr>
          <w:rFonts w:ascii="Aptos" w:hAnsi="Aptos" w:cs="Aptos" w:eastAsia="Aptos"/>
          <w:b w:val="0"/>
          <w:i w:val="0"/>
          <w:color w:val="2B2B2B"/>
          <w:sz w:val="20"/>
        </w:rPr>
        <w:t xml:space="preserve">: «Em situações de incumprimento, e após notificação do proprietário para regularização da situação, podem as Câmaras Municipais solicitar mandado judicial que lhes permita o acesso ao local onde se encontram os animais em excesso e proceder á sua remoção» (p. 241). É doutrina — de fonte policial — a afirmar que </w:t>
      </w:r>
      <w:r>
        <w:rPr>
          <w:rFonts w:ascii="Aptos" w:hAnsi="Aptos" w:cs="Aptos" w:eastAsia="Aptos"/>
          <w:b/>
          <w:i w:val="0"/>
          <w:color w:val="2B2B2B"/>
          <w:sz w:val="20"/>
        </w:rPr>
        <w:t>a remoção é operação municipal</w:t>
      </w:r>
      <w:r>
        <w:rPr>
          <w:rFonts w:ascii="Aptos" w:hAnsi="Aptos" w:cs="Aptos" w:eastAsia="Aptos"/>
          <w:b w:val="0"/>
          <w:i w:val="0"/>
          <w:color w:val="2B2B2B"/>
          <w:sz w:val="20"/>
        </w:rPr>
        <w:t>. Vale para a questão 8 e para a leitura do caso de Santo Tirso.</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i w:val="0"/>
          <w:color w:val="2B2B2B"/>
          <w:sz w:val="20"/>
        </w:rPr>
        <w:t>O seu quadro-resumo das contraordenações do Decreto-Lei n.º 276/2001 não contém uma única entrada relativa a excesso de animais em alojamento</w:t>
      </w:r>
      <w:r>
        <w:rPr>
          <w:rFonts w:ascii="Aptos" w:hAnsi="Aptos" w:cs="Aptos" w:eastAsia="Aptos"/>
          <w:b w:val="0"/>
          <w:i w:val="0"/>
          <w:color w:val="2B2B2B"/>
          <w:sz w:val="20"/>
        </w:rPr>
        <w:t xml:space="preserve"> (pp. 254-255). Enumera venda ambulante, violação do dever de cuidado com perigo para pessoas e para animais, abandono, seguro de responsabilidade civil. Nenhuma lotação. É a confirmação, por quem fez o levantamento exaustivo para uso operacional, do resultado negativo apurado no ponto 9.3: </w:t>
      </w:r>
      <w:r>
        <w:rPr>
          <w:rFonts w:ascii="Aptos" w:hAnsi="Aptos" w:cs="Aptos" w:eastAsia="Aptos"/>
          <w:b/>
          <w:i w:val="0"/>
          <w:color w:val="2B2B2B"/>
          <w:sz w:val="20"/>
        </w:rPr>
        <w:t>no regime dos alojamentos não existe norma sancionatória ancorada num número</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valor deste estudo para a questão em análise é duplo, e nenhuma das duas faces é a de autoridade doutrinal em sentido forte. Primeiro, </w:t>
            </w:r>
            <w:r>
              <w:rPr>
                <w:rFonts w:ascii="Aptos" w:hAnsi="Aptos" w:cs="Aptos" w:eastAsia="Aptos"/>
                <w:b/>
                <w:i w:val="0"/>
                <w:color w:val="2B2B2B"/>
                <w:sz w:val="20"/>
              </w:rPr>
              <w:t>é a única fonte que arruma os dois diplomas lado a lado para fins de fiscalização</w:t>
            </w:r>
            <w:r>
              <w:rPr>
                <w:rFonts w:ascii="Aptos" w:hAnsi="Aptos" w:cs="Aptos" w:eastAsia="Aptos"/>
                <w:b w:val="0"/>
                <w:i w:val="0"/>
                <w:color w:val="2B2B2B"/>
                <w:sz w:val="20"/>
              </w:rPr>
              <w:t xml:space="preserve"> e, fazendo-o, nunca cruza os planos: o artigo 3.º aparece como limite da habitação, o Decreto-Lei n.º 276/2001 como regime da atividade. Segundo, </w:t>
            </w:r>
            <w:r>
              <w:rPr>
                <w:rFonts w:ascii="Aptos" w:hAnsi="Aptos" w:cs="Aptos" w:eastAsia="Aptos"/>
                <w:b/>
                <w:i w:val="0"/>
                <w:color w:val="2B2B2B"/>
                <w:sz w:val="20"/>
              </w:rPr>
              <w:t>é um levantamento feito para ser usado</w:t>
            </w:r>
            <w:r>
              <w:rPr>
                <w:rFonts w:ascii="Aptos" w:hAnsi="Aptos" w:cs="Aptos" w:eastAsia="Aptos"/>
                <w:b w:val="0"/>
                <w:i w:val="0"/>
                <w:color w:val="2B2B2B"/>
                <w:sz w:val="20"/>
              </w:rPr>
              <w:t>, por quem levanta autos — e a ausência de qualquer entrada sobre lotação de alojamento não é omissão de escrita, é reflexo de não haver o que levantar.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autor não se pronuncia sobre a questão deste estudo — não pergunta se o artigo 3.º limita a capacidade de um alojamento registado. A confirmação que dele se retira é indireta, e é por isso que vale: as suas categorias foram construídas sem o problema em vista, e organizaram-se, ainda assim, exatamente segundo a separação aqui defendida. Uma classificação que não foi feita para provar nada é melhor indício do sentido corrente das normas do que uma tese que as discuta.</w:t>
            </w:r>
          </w:p>
          <w:p>
            <w:pPr>
              <w:spacing w:before="0" w:after="0" w:line="293" w:lineRule="auto"/>
              <w:jc w:val="both"/>
            </w:pPr>
            <w:r>
              <w:rPr>
                <w:rFonts w:ascii="Aptos" w:hAnsi="Aptos" w:cs="Aptos" w:eastAsia="Aptos"/>
                <w:b w:val="0"/>
                <w:i w:val="0"/>
                <w:color w:val="2B2B2B"/>
                <w:sz w:val="19"/>
              </w:rPr>
              <w:t>Registe-se também o que o autor propõe de iure condendo, por coincidir com o ponto 9.5: sustenta que «urge a necessidade do poder político intervir nesta matéria através da criação legislativa dum verdadeiro "Estatuto do Animal", que congregue num único diploma toda panóplia de diplomas legais, de forma clara, estruturada, simples e intuitiva, dirimindo as incoerências e inexactidões existentes actualmente» (p. 256).</w:t>
            </w:r>
          </w:p>
        </w:tc>
      </w:tr>
    </w:tbl>
    <w:p>
      <w:pPr>
        <w:spacing w:before="0" w:after="180" w:line="293" w:lineRule="auto"/>
      </w:pPr>
    </w:p>
    <w:p>
      <w:pPr>
        <w:keepNext/>
        <w:spacing w:before="200" w:after="60" w:line="293" w:lineRule="auto"/>
      </w:pPr>
      <w:r>
        <w:rPr>
          <w:rFonts w:ascii="Aptos" w:hAnsi="Aptos" w:cs="Aptos" w:eastAsia="Aptos"/>
          <w:b/>
          <w:i w:val="0"/>
          <w:color w:val="5C7891"/>
          <w:sz w:val="19"/>
        </w:rPr>
        <w:t>11.5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keepNext/>
        <w:spacing w:before="200" w:after="60" w:line="293" w:lineRule="auto"/>
      </w:pPr>
      <w:r>
        <w:rPr>
          <w:rFonts w:ascii="Aptos" w:hAnsi="Aptos" w:cs="Aptos" w:eastAsia="Aptos"/>
          <w:b/>
          <w:i w:val="0"/>
          <w:color w:val="5C7891"/>
          <w:sz w:val="19"/>
        </w:rPr>
        <w:t>11.6  Jurisprudência do Supremo Tribunal Administrativo sobre canis</w:t>
      </w:r>
    </w:p>
    <w:p>
      <w:pPr>
        <w:spacing w:before="0" w:after="140" w:line="293" w:lineRule="auto"/>
        <w:jc w:val="both"/>
      </w:pPr>
      <w:r>
        <w:rPr>
          <w:rFonts w:ascii="Aptos" w:hAnsi="Aptos" w:cs="Aptos" w:eastAsia="Aptos"/>
          <w:b w:val="0"/>
          <w:i w:val="0"/>
          <w:color w:val="2B2B2B"/>
          <w:sz w:val="20"/>
        </w:rPr>
        <w:t>A pesquisa por «canil» na base do Supremo Tribunal Administrativo devolve um conjunto pequeno de decisões, todas fora do âmbito dos dois diplomas em confronto, mas que mostram por que vias o Estado controlou os canis antes e depois de 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Na área que o art.º 12.º n.º1 al. a) do PDM de Palmela, ratificado pela Resolução do Conselho de Ministros n.º 115/97, de 10 de Abril e publicado no DR I- Série B, de 9.7.97, classifica como “ Espaço urbanizável de baixa densidade – B2 ”, definida como área destinada “dominantemente ao uso residencial, incluindo os respectivos equipamentos colectivos, comércio e serviços de apoio”, a autorização de fazer uma edificação destinada a um canil com capacidade para cem cães viola o Plano, sendo nula nos termos do art.º 103.º do DL 380/99, de 22 de Set.</w:t>
            </w:r>
          </w:p>
          <w:p>
            <w:pPr>
              <w:spacing w:before="120" w:after="0" w:line="293" w:lineRule="auto"/>
            </w:pPr>
            <w:r>
              <w:rPr>
                <w:rFonts w:ascii="Aptos" w:hAnsi="Aptos" w:cs="Aptos" w:eastAsia="Aptos"/>
                <w:b w:val="0"/>
                <w:i w:val="0"/>
                <w:color w:val="7C8894"/>
                <w:sz w:val="15"/>
              </w:rPr>
              <w:t>Acórdão do Supremo Tribunal Administrativo de 7.3.2006, processo n.º 0794/05, relator Rosendo José, sumário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III - Não pode suspender-se a eficácia de acto de autoridade de saúde que determinou o encerramento de um canil, por se considerar que o mesmo está a degradar o meio ambiente, inquinando a água de poços para consumo humano, deteriorando as condições de vida das populações próximas, por falta de isolamento sonoro e de saneamento eficiente.</w:t>
            </w:r>
          </w:p>
          <w:p>
            <w:pPr>
              <w:spacing w:before="120" w:after="0" w:line="293" w:lineRule="auto"/>
            </w:pPr>
            <w:r>
              <w:rPr>
                <w:rFonts w:ascii="Aptos" w:hAnsi="Aptos" w:cs="Aptos" w:eastAsia="Aptos"/>
                <w:b w:val="0"/>
                <w:i w:val="0"/>
                <w:color w:val="7C8894"/>
                <w:sz w:val="15"/>
              </w:rPr>
              <w:t>Acórdão do Supremo Tribunal Administrativo de 23.9.1993, processo n.º 032630, relator Nascimento Costa, sumário; entidade recorrida: Autoridade de Saúde Concelhia de Braga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As pessoas colectivas de utilidade publica administrativa que tenham por objecto principal a protecção dos animais estão sujeitas as limitações e proibições consignadas na Portaria n. 6065.</w:t>
            </w:r>
          </w:p>
          <w:p>
            <w:pPr>
              <w:spacing w:before="120" w:after="0" w:line="293" w:lineRule="auto"/>
            </w:pPr>
            <w:r>
              <w:rPr>
                <w:rFonts w:ascii="Aptos" w:hAnsi="Aptos" w:cs="Aptos" w:eastAsia="Aptos"/>
                <w:b w:val="0"/>
                <w:i w:val="0"/>
                <w:color w:val="7C8894"/>
                <w:sz w:val="15"/>
              </w:rPr>
              <w:t>Acórdão do Pleno do Supremo Tribunal Administrativo de 16.7.1953, processo n.º 000702, relator Pita e Castro, sumário; recorrente: Liga Nacional de Defesa dos Animais</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acórdão de 2006 refere-se a um ato de licenciamento de 30 de dezembro de 1999, anterior ao Decreto-Lei n.º 314/2003. O silêncio sobre este diploma não tem, por isso, significado.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de 1993 só está disponível em sumário. A base legal indicada é a Constituição (artigos 64.º e 66.º) e o artigo 70.º do Código Civil. É o próprio acórdão de 2006 que o cita.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de 1953 confirma, em Pleno, o acórdão da 1.ª Secção de 13.6.1952, processo n.º 003887. As normas indicadas são a Portaria n.º 6065, de 30 de março de 1929 (artigos 4.º, 7.º, 30.º e 41.º), a Lei n.º 1453, de 1923, o Decreto n.º 8364, de 25 de agosto de 1922, e o Código Administrativo de 1940. O canil de uma associação de proteção animal era licenciado como estabelecimento insalubre, incómodo ou perigoso.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Os acórdãos de 15.12.2004, processo n.º 0992/04, e do Pleno de 16.12.2015, processo n.º 0517/14, tratam de responsabilidade civil por um canil cujo projeto foi indeferido pela Câmara Municipal de Viseu em 8 de junho de 2000. Dos factos provados consta que foi consultado o delegado de saúde e «foi ouvida a Direção Regional de Agricultura da Beira Litoral».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Nenhuma destas decisões aplica o Decreto-Lei n.º 314/2003 ou o Decreto-Lei n.º 276/2001. Em todas, o controlo do canil fez-se por outras vias: o licenciamento sanitário de estabelecimentos (1929), a polícia sanitária da autoridade de saúde e o ordenamento do território. Servem a parte histórica do capítulo 13 e o ponto 15.7, não a questão central.</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p>
      <w:pPr>
        <w:spacing w:before="0" w:after="140" w:line="293" w:lineRule="auto"/>
        <w:jc w:val="both"/>
      </w:pPr>
      <w:r>
        <w:rPr>
          <w:rFonts w:ascii="Aptos" w:hAnsi="Aptos" w:cs="Aptos" w:eastAsia="Aptos"/>
          <w:b/>
          <w:i w:val="0"/>
          <w:color w:val="2B2B2B"/>
          <w:sz w:val="20"/>
        </w:rPr>
        <w:t>ICNF, I. P., Gabinete de Apoio Jurídico e Contencioso, Informação interna n.º I-013109/2022, de 16 de maio de 2022</w:t>
      </w:r>
      <w:r>
        <w:rPr>
          <w:rFonts w:ascii="Aptos" w:hAnsi="Aptos" w:cs="Aptos" w:eastAsia="Aptos"/>
          <w:b w:val="0"/>
          <w:i w:val="0"/>
          <w:color w:val="2B2B2B"/>
          <w:sz w:val="20"/>
        </w:rPr>
        <w:t>, processo P-020019/2022, com o assunto «Aplicação do artigo 3º do DL 314/2003 aos alojamentos de animais de companhia». Responde a um pedido do Departamento de Bem-Estar dos Animais de Companhia, surgido na execução dos planos de controlo de alojamentos, e conclui:</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De todos exposto e salvo melhor entendimento, não há lugar para a aplicação do Decreto-Lei nº314/2003 em conjugação do Decreto-Lei nº 276/2001, relativamente à limitação do número de animais imposta pelo artigo 3º do Decreto-lei nº 314/2003.</w:t>
            </w:r>
          </w:p>
          <w:p>
            <w:pPr>
              <w:spacing w:before="0" w:after="0" w:line="293" w:lineRule="auto"/>
              <w:jc w:val="both"/>
            </w:pPr>
            <w:r>
              <w:rPr>
                <w:rFonts w:ascii="Aptos" w:hAnsi="Aptos" w:cs="Aptos" w:eastAsia="Aptos"/>
                <w:b w:val="0"/>
                <w:i/>
                <w:color w:val="2B2B2B"/>
                <w:sz w:val="19"/>
              </w:rPr>
              <w:t>Compete ao interessado conjuntamente com o médico veterinário a indicação do número de animais que pretende alojar e compete ainda ao segundo, assegurar a observância e o cumprimento das normas tendentes à manutenção do bem-estar dos animais alojados.</w:t>
            </w:r>
          </w:p>
          <w:p>
            <w:pPr>
              <w:spacing w:before="120" w:after="0" w:line="293" w:lineRule="auto"/>
            </w:pPr>
            <w:r>
              <w:rPr>
                <w:rFonts w:ascii="Aptos" w:hAnsi="Aptos" w:cs="Aptos" w:eastAsia="Aptos"/>
                <w:b w:val="0"/>
                <w:i w:val="0"/>
                <w:color w:val="7C8894"/>
                <w:sz w:val="15"/>
              </w:rPr>
              <w:t>ICNF, Informação interna n.º I-013109/2022, conclusão, p. 7</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fundamentos são dois. A comunicação prévia indica a capacidade máxima e o número de animais detidos. E o anexo III admite, em recintos exteriores, «até dez animais», pelo que, «se fosse entendimento do legislador a limitação do número de animais por conjugação do artigo 3º do Decreto-Lei nº 314/2003, esta estipulação de alojamento não constaria do Decreto-lei nº 276/2001». A informação remete ainda o ruído dos alojamentos para o Regulamento Geral do Ruído, como ruído de vizinhança, cuja fiscalização cabe às autoridades policiais.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publicada é convergente e não cruza os dois planos. Não vale como fonte de direito, mas vale como prática reiterada da autoridade competente e dos municípios, e é elemento a ponderar na interpretação.</w:t>
            </w:r>
          </w:p>
          <w:p>
            <w:pPr>
              <w:spacing w:before="0" w:after="80" w:line="293" w:lineRule="auto"/>
              <w:jc w:val="both"/>
            </w:pPr>
            <w:r>
              <w:rPr>
                <w:rFonts w:ascii="Aptos" w:hAnsi="Aptos" w:cs="Aptos" w:eastAsia="Aptos"/>
                <w:b w:val="0"/>
                <w:i w:val="0"/>
                <w:color w:val="2B2B2B"/>
                <w:sz w:val="19"/>
              </w:rPr>
              <w:t>A informação de 2022 é o primeiro pronunciamento jurídico localizado da autoridade então competente que resolve expressamente a questão central, e resolve-a no sentido deste estudo. Não está publicada e não se sabe se obteve despacho de concordância. Os fundamentos coincidem com os dos pontos 7.3 e 8, mas não usam o conceito de fogo, que é aqui o decisivo.</w:t>
            </w:r>
          </w:p>
          <w:p>
            <w:pPr>
              <w:spacing w:before="0" w:after="0" w:line="293" w:lineRule="auto"/>
              <w:jc w:val="both"/>
            </w:pPr>
            <w:r>
              <w:rPr>
                <w:rFonts w:ascii="Aptos" w:hAnsi="Aptos" w:cs="Aptos" w:eastAsia="Aptos"/>
                <w:b w:val="0"/>
                <w:i w:val="0"/>
                <w:color w:val="2B2B2B"/>
                <w:sz w:val="19"/>
              </w:rPr>
              <w:t>Tem três fragilidades. Atribui ao médico veterinário responsável, com o interessado, a fixação do número de animais, sem indicar base legal: a capacidade é declarada pelo interessado (al. h) do n.º 1 do artigo 3.º-A do Decreto-Lei n.º 276/2001) e limitada materialmente pelo anexo III. Descreve o artigo 3.º do Decreto-Lei n.º 314/2003 como limitando os animais «em prédios, sejam urbanos ou mistos», com o médico veterinário municipal a admitir número superior, quando o n.º 4 não fixa teto nem prevê essa intervenção. E refere os elementos da comunicação prévia ao «artigo 3º». Dentro do mesmo instituto, a informação é contrariada pelo entendimento dos serviços exposto em 6.8.</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13.4  </w:t>
      </w:r>
      <w:r>
        <w:rPr>
          <w:rFonts w:ascii="Aptos" w:hAnsi="Aptos" w:cs="Aptos" w:eastAsia="Aptos"/>
          <w:b/>
          <w:i w:val="0"/>
          <w:color w:val="35506B"/>
          <w:sz w:val="21"/>
        </w:rPr>
        <w:t>A trajetória do título de acesso: de municipal a nacional</w:t>
      </w:r>
    </w:p>
    <w:p>
      <w:pPr>
        <w:spacing w:before="0" w:after="140" w:line="293" w:lineRule="auto"/>
        <w:jc w:val="both"/>
      </w:pPr>
      <w:r>
        <w:rPr>
          <w:rFonts w:ascii="Aptos" w:hAnsi="Aptos" w:cs="Aptos" w:eastAsia="Aptos"/>
          <w:b w:val="0"/>
          <w:i w:val="0"/>
          <w:color w:val="2B2B2B"/>
          <w:sz w:val="20"/>
        </w:rPr>
        <w:t>A questão de saber se existe hoje autorização municipal para instalar um alojamento tem uma história, e ela foi reconstituída em audição parlamentar pelo parecer jurídico que a Câmara Municipal de Santo Tirso mandou fazer em 2018 e que o seu presidente leu em voz alta (Audição parlamentar n.º 32-CAM-XIV, 01:01:48 a 01:05:17). Conferidos os textos no jornal oficial, a trajetória é esta.</w:t>
      </w:r>
    </w:p>
    <w:p>
      <w:pPr>
        <w:spacing w:before="0" w:after="140" w:line="293" w:lineRule="auto"/>
        <w:jc w:val="both"/>
      </w:pPr>
      <w:r>
        <w:rPr>
          <w:rFonts w:ascii="Aptos" w:hAnsi="Aptos" w:cs="Aptos" w:eastAsia="Aptos"/>
          <w:b w:val="0"/>
          <w:i w:val="0"/>
          <w:color w:val="2B2B2B"/>
          <w:sz w:val="20"/>
        </w:rPr>
        <w:t xml:space="preserve">No regime originário, o título dependia do </w:t>
      </w:r>
      <w:r>
        <w:rPr>
          <w:rFonts w:ascii="Aptos" w:hAnsi="Aptos" w:cs="Aptos" w:eastAsia="Aptos"/>
          <w:b/>
          <w:i w:val="0"/>
          <w:color w:val="2B2B2B"/>
          <w:sz w:val="20"/>
        </w:rPr>
        <w:t>fim</w:t>
      </w:r>
      <w:r>
        <w:rPr>
          <w:rFonts w:ascii="Aptos" w:hAnsi="Aptos" w:cs="Aptos" w:eastAsia="Aptos"/>
          <w:b w:val="0"/>
          <w:i w:val="0"/>
          <w:color w:val="2B2B2B"/>
          <w:sz w:val="20"/>
        </w:rPr>
        <w:t xml:space="preserve"> do alojamento, e repartia-se entre duas autoridades: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de animais de companhia para hospedagem sem fins lucrativos, com fins comerciais e com fins higiénicos carecem de licença de utilização, a emitir pela câmara municipal da área, nos termos do disposto no Decreto-Lei n.º 370/99, de 18 de Setembro.</w:t>
            </w:r>
          </w:p>
          <w:p>
            <w:pPr>
              <w:spacing w:before="0" w:after="0" w:line="293" w:lineRule="auto"/>
              <w:jc w:val="both"/>
            </w:pPr>
            <w:r>
              <w:rPr>
                <w:rFonts w:ascii="Aptos" w:hAnsi="Aptos" w:cs="Aptos" w:eastAsia="Aptos"/>
                <w:b w:val="0"/>
                <w:i/>
                <w:color w:val="2B2B2B"/>
                <w:sz w:val="19"/>
              </w:rPr>
              <w:t>2 — Exceptuam-se do disposto no número anterior os centros de recolha, os alojamentos de reprodução e os de criação, os centros de treino e os alojamentos para hospedagem com fins médico-veterinários, os quais carecem de licença de funcionamento, a emitir pela DGV, sob parecer da DRA e do médico veterinário municipal da área.</w:t>
            </w:r>
          </w:p>
          <w:p>
            <w:pPr>
              <w:spacing w:before="120" w:after="0" w:line="293" w:lineRule="auto"/>
            </w:pPr>
            <w:r>
              <w:rPr>
                <w:rFonts w:ascii="Aptos" w:hAnsi="Aptos" w:cs="Aptos" w:eastAsia="Aptos"/>
                <w:b w:val="0"/>
                <w:i w:val="0"/>
                <w:color w:val="7C8894"/>
                <w:sz w:val="15"/>
              </w:rPr>
              <w:t>N.ºs 1 e 2 do artigo 3.º do Decreto-Lei n.º 276/2001, texto original, conferido no Diário da República, I série-A, n.º 241, de 17 de outubro de 2001, a páginas 6573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Catorze meses depois, o Decreto-Lei n.º 315/2003 unificou o título e transferiu-o por inteiro para a autoridade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alojamentos para hospedagem sem fins lucrativos, com fins comerciais, com excepção dos destinados exclusivamente à venda, e os centros de recolha carecem de licença de funcionamento a emitir pelo director-geral de Veterinária, sob parecer da DRA da área de localização e do médico veterinário municipal, no caso dos centros de recolha.</w:t>
            </w:r>
          </w:p>
          <w:p>
            <w:pPr>
              <w:spacing w:before="120" w:after="0" w:line="293" w:lineRule="auto"/>
            </w:pPr>
            <w:r>
              <w:rPr>
                <w:rFonts w:ascii="Aptos" w:hAnsi="Aptos" w:cs="Aptos" w:eastAsia="Aptos"/>
                <w:b w:val="0"/>
                <w:i w:val="0"/>
                <w:color w:val="7C8894"/>
                <w:sz w:val="15"/>
              </w:rPr>
              <w:t>N.º 1 do artigo 3.º do Decreto-Lei n.º 276/2001, na redação do Decreto-Lei n.º 315/2003, conferido no Diário da República, I série-A, n.º 290, de 17 de dezembro de 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Período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um alojamento de hospedagem sem fins lucrativos</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o emite</w:t>
            </w:r>
          </w:p>
        </w:tc>
      </w:tr>
      <w:tr>
        <w:trPr>
          <w:cantSplit/>
        </w:trPr>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17.10.2001 a 16.12.2003</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Licença de utilização, nos termos do DL n.º 370/99</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Câmara municipal</w:t>
            </w:r>
          </w:p>
        </w:tc>
      </w:tr>
      <w:tr>
        <w:trPr>
          <w:cantSplit/>
        </w:trPr>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17.12.2003 a 11.12.2012</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Licença de funcionamento, sob parecer da DRA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Diretor-geral de Veterinária</w:t>
            </w:r>
          </w:p>
        </w:tc>
      </w:tr>
      <w:tr>
        <w:trPr>
          <w:cantSplit/>
        </w:trPr>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12.12.2012</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(art.º 3.º-A, red. DL n.º 260/2012)</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DGAV</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Consequência para a questão 1.</w:t>
            </w:r>
            <w:r>
              <w:rPr>
                <w:rFonts w:ascii="Aptos" w:hAnsi="Aptos" w:cs="Aptos" w:eastAsia="Aptos"/>
                <w:b w:val="0"/>
                <w:i w:val="0"/>
                <w:color w:val="2B2B2B"/>
                <w:sz w:val="20"/>
              </w:rPr>
              <w:t xml:space="preserve"> Não existe hoje, nem existe desde 17 de dezembro de 2003, autorização municipal para instalar um alojamento. A resposta dada nos pontos 13.1 a 13.3 mantém-se, e ganha data certa.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parecer de 2018, tal como lido em comissão, atribui a norma de 2001 ao «artigo 22.º» — que tem por epígrafe «Controlo da reprodução pelo detentor» — e afirma que a câmara comunicava o licenciamento à DGV, quando o n.º 7 daquele artigo 3.º dispõe o inverso: «A DGV comunica à DRA e esta à câmara municipal os licenciamentos referidos no n.º 2 deste artigo». A conclusão do parecer está correcta; a citação não. Não é possível, a partir da gravação, distinguir erro do parecer de erro de leitura ou da transcrição, pelo que nada se afirma quanto à sua imputação.</w:t>
            </w:r>
          </w:p>
          <w:p>
            <w:pPr>
              <w:spacing w:before="0" w:after="0" w:line="293" w:lineRule="auto"/>
              <w:jc w:val="both"/>
            </w:pPr>
            <w:r>
              <w:rPr>
                <w:rFonts w:ascii="Aptos" w:hAnsi="Aptos" w:cs="Aptos" w:eastAsia="Aptos"/>
                <w:b/>
                <w:i w:val="0"/>
                <w:color w:val="2B2B2B"/>
                <w:sz w:val="19"/>
              </w:rPr>
              <w:t>Nota para o caso de Santo Tirso.</w:t>
            </w:r>
            <w:r>
              <w:rPr>
                <w:rFonts w:ascii="Aptos" w:hAnsi="Aptos" w:cs="Aptos" w:eastAsia="Aptos"/>
                <w:b w:val="0"/>
                <w:i w:val="0"/>
                <w:color w:val="2B2B2B"/>
                <w:sz w:val="19"/>
              </w:rPr>
              <w:t xml:space="preserve"> Os dois abrigos eram alojamentos de hospedagem </w:t>
            </w:r>
            <w:r>
              <w:rPr>
                <w:rFonts w:ascii="Aptos" w:hAnsi="Aptos" w:cs="Aptos" w:eastAsia="Aptos"/>
                <w:b/>
                <w:i w:val="0"/>
                <w:color w:val="2B2B2B"/>
                <w:sz w:val="19"/>
              </w:rPr>
              <w:t>sem fins lucrativos</w:t>
            </w:r>
            <w:r>
              <w:rPr>
                <w:rFonts w:ascii="Aptos" w:hAnsi="Aptos" w:cs="Aptos" w:eastAsia="Aptos"/>
                <w:b w:val="0"/>
                <w:i w:val="0"/>
                <w:color w:val="2B2B2B"/>
                <w:sz w:val="19"/>
              </w:rPr>
              <w:t xml:space="preserve">, isto é, a categoria do n.º 1 do artigo 3.º na redação de 2001. Entre 17 de outubro de 2001 e 16 de dezembro de 2003, o título daqueles espaços era, pois, </w:t>
            </w:r>
            <w:r>
              <w:rPr>
                <w:rFonts w:ascii="Aptos" w:hAnsi="Aptos" w:cs="Aptos" w:eastAsia="Aptos"/>
                <w:b/>
                <w:i w:val="0"/>
                <w:color w:val="2B2B2B"/>
                <w:sz w:val="19"/>
              </w:rPr>
              <w:t>municipal</w:t>
            </w:r>
            <w:r>
              <w:rPr>
                <w:rFonts w:ascii="Aptos" w:hAnsi="Aptos" w:cs="Aptos" w:eastAsia="Aptos"/>
                <w:b w:val="0"/>
                <w:i w:val="0"/>
                <w:color w:val="2B2B2B"/>
                <w:sz w:val="19"/>
              </w:rPr>
              <w:t>. Não se retira daqui consequência quanto ao que sucedeu depois de 2003 — mas é elemento a ter presente quando se discute desde quando o município conhecia os espaços.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 O mesmo sucede no estudo contraordenacional de 2019 tratado em 11.4, que transcreve em nota a al. q) do n.º 1 do artigo 2.º — a definição vizinha — e passa ao lado da al. p). </w:t>
            </w:r>
            <w:r>
              <w:rPr>
                <w:rFonts w:ascii="Aptos" w:hAnsi="Aptos" w:cs="Aptos" w:eastAsia="Aptos"/>
                <w:b/>
                <w:i w:val="0"/>
                <w:color w:val="2B2B2B"/>
                <w:sz w:val="19"/>
              </w:rPr>
              <w:t>Duas revisões sistemáticas do regime, feitas por profissionais que o aplicam, e nenhuma dá pela ressalva.</w:t>
            </w:r>
            <w:r>
              <w:rPr>
                <w:rFonts w:ascii="Aptos" w:hAnsi="Aptos" w:cs="Aptos" w:eastAsia="Aptos"/>
                <w:b w:val="0"/>
                <w:i w:val="0"/>
                <w:color w:val="2B2B2B"/>
                <w:sz w:val="19"/>
              </w:rPr>
              <w:t xml:space="preserve"> É indício do seu alcance real.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14.5  </w:t>
      </w:r>
      <w:r>
        <w:rPr>
          <w:rFonts w:ascii="Aptos" w:hAnsi="Aptos" w:cs="Aptos" w:eastAsia="Aptos"/>
          <w:b/>
          <w:i w:val="0"/>
          <w:color w:val="35506B"/>
          <w:sz w:val="21"/>
        </w:rPr>
        <w:t>Três actos coordenados no mesmo Diário da República</w:t>
      </w:r>
    </w:p>
    <w:p>
      <w:pPr>
        <w:spacing w:before="0" w:after="140" w:line="293" w:lineRule="auto"/>
        <w:jc w:val="both"/>
      </w:pPr>
      <w:r>
        <w:rPr>
          <w:rFonts w:ascii="Aptos" w:hAnsi="Aptos" w:cs="Aptos" w:eastAsia="Aptos"/>
          <w:b w:val="0"/>
          <w:i w:val="0"/>
          <w:color w:val="2B2B2B"/>
          <w:sz w:val="20"/>
        </w:rPr>
        <w:t>O ponto 14.4 sustentou, por *expressio unius*, que o silêncio do legislador quanto à lotação é qualificado. A trajetória apurada no ponto 13.4 permite ir mais longe, e mudar o plano do argumento: não é silêncio, é arrumação simultânea.</w:t>
      </w:r>
    </w:p>
    <w:p>
      <w:pPr>
        <w:spacing w:before="0" w:after="140" w:line="293" w:lineRule="auto"/>
        <w:jc w:val="both"/>
      </w:pPr>
      <w:r>
        <w:rPr>
          <w:rFonts w:ascii="Aptos" w:hAnsi="Aptos" w:cs="Aptos" w:eastAsia="Aptos"/>
          <w:b w:val="0"/>
          <w:i w:val="0"/>
          <w:color w:val="2B2B2B"/>
          <w:sz w:val="20"/>
        </w:rPr>
        <w:t xml:space="preserve">No </w:t>
      </w:r>
      <w:r>
        <w:rPr>
          <w:rFonts w:ascii="Aptos" w:hAnsi="Aptos" w:cs="Aptos" w:eastAsia="Aptos"/>
          <w:b/>
          <w:i w:val="0"/>
          <w:color w:val="2B2B2B"/>
          <w:sz w:val="20"/>
        </w:rPr>
        <w:t>Diário da República, I série-A, n.º 290, de 17 de dezembro de 2003</w:t>
      </w:r>
      <w:r>
        <w:rPr>
          <w:rFonts w:ascii="Aptos" w:hAnsi="Aptos" w:cs="Aptos" w:eastAsia="Aptos"/>
          <w:b w:val="0"/>
          <w:i w:val="0"/>
          <w:color w:val="2B2B2B"/>
          <w:sz w:val="20"/>
        </w:rPr>
        <w:t>, o legislador praticou três actos: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Decreto-Lei n.º 315/2003</w:t>
      </w:r>
      <w:r>
        <w:rPr>
          <w:rFonts w:ascii="Aptos" w:hAnsi="Aptos" w:cs="Aptos" w:eastAsia="Aptos"/>
          <w:b w:val="0"/>
          <w:i w:val="0"/>
          <w:color w:val="2B2B2B"/>
          <w:sz w:val="20"/>
        </w:rPr>
        <w:t xml:space="preserve"> — retirou às câmaras municipais o título de acesso dos alojamentos e entregou-o ao director-geral de Veterinária (ponto 13.4).</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Decreto-Lei n.º 314/2003</w:t>
      </w:r>
      <w:r>
        <w:rPr>
          <w:rFonts w:ascii="Aptos" w:hAnsi="Aptos" w:cs="Aptos" w:eastAsia="Aptos"/>
          <w:b w:val="0"/>
          <w:i w:val="0"/>
          <w:color w:val="2B2B2B"/>
          <w:sz w:val="20"/>
        </w:rPr>
        <w:t xml:space="preserve"> — criou os limites de animais por fogo, cuja vistoria conjunta e notificação para remoção entregou às câmaras municipais (n.ºs 2 e 5 do artigo 3.º).</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Decreto-Lei n.º 315/2003, al. p)</w:t>
      </w:r>
      <w:r>
        <w:rPr>
          <w:rFonts w:ascii="Aptos" w:hAnsi="Aptos" w:cs="Aptos" w:eastAsia="Aptos"/>
          <w:b w:val="0"/>
          <w:i w:val="0"/>
          <w:color w:val="2B2B2B"/>
          <w:sz w:val="20"/>
        </w:rPr>
        <w:t xml:space="preserve"> — excluiu do conceito de hospedagem sem fins lucrativos o alojamento em fracção autónoma, que é a única ponte expressa entre os dois diplomas (pontos 14.1 a 14.4).</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No mesmo dia, e no mesmo jornal, </w:t>
            </w:r>
            <w:r>
              <w:rPr>
                <w:rFonts w:ascii="Aptos" w:hAnsi="Aptos" w:cs="Aptos" w:eastAsia="Aptos"/>
                <w:b/>
                <w:i w:val="0"/>
                <w:color w:val="2B2B2B"/>
                <w:sz w:val="20"/>
              </w:rPr>
              <w:t>a actividade subiu para a autoridade nacional e a densidade doméstica desceu para o município</w:t>
            </w:r>
            <w:r>
              <w:rPr>
                <w:rFonts w:ascii="Aptos" w:hAnsi="Aptos" w:cs="Aptos" w:eastAsia="Aptos"/>
                <w:b w:val="0"/>
                <w:i w:val="0"/>
                <w:color w:val="2B2B2B"/>
                <w:sz w:val="20"/>
              </w:rPr>
              <w:t>. O legislador não se limitou a não cruzar os dois planos: separou-os por acto positivo, atribuindo competências distintas a autoridades distintas, e abriu entre eles uma única passagem — estreitíssima — para o caso em que a separação material é impossível.</w:t>
            </w:r>
          </w:p>
          <w:p>
            <w:pPr>
              <w:spacing w:before="0" w:after="0" w:line="293" w:lineRule="auto"/>
              <w:jc w:val="both"/>
            </w:pPr>
            <w:r>
              <w:rPr>
                <w:rFonts w:ascii="Aptos" w:hAnsi="Aptos" w:cs="Aptos" w:eastAsia="Aptos"/>
                <w:b w:val="0"/>
                <w:i w:val="0"/>
                <w:color w:val="2B2B2B"/>
                <w:sz w:val="20"/>
              </w:rPr>
              <w:t xml:space="preserve">Isto desloca o argumento de um plano para o outro. Deixa de ser inferência a partir de um silêncio e passa a ser leitura de um </w:t>
            </w:r>
            <w:r>
              <w:rPr>
                <w:rFonts w:ascii="Aptos" w:hAnsi="Aptos" w:cs="Aptos" w:eastAsia="Aptos"/>
                <w:b/>
                <w:i w:val="0"/>
                <w:color w:val="2B2B2B"/>
                <w:sz w:val="20"/>
              </w:rPr>
              <w:t>desenho documentado</w:t>
            </w:r>
            <w:r>
              <w:rPr>
                <w:rFonts w:ascii="Aptos" w:hAnsi="Aptos" w:cs="Aptos" w:eastAsia="Aptos"/>
                <w:b w:val="0"/>
                <w:i w:val="0"/>
                <w:color w:val="2B2B2B"/>
                <w:sz w:val="20"/>
              </w:rPr>
              <w:t>. Quem sustente que os números do n.º 2 fixam a lotação de um alojamento registado tem de explicar por que razão o mesmo legislador, no mesmo dia, entregou os dois regimes a autoridades diferentes.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coincidência de data já era conhecida deste estudo e servia, no ponto 14.1, para identificar o referente da remissão da al. p). O que é novo é a </w:t>
            </w:r>
            <w:r>
              <w:rPr>
                <w:rFonts w:ascii="Aptos" w:hAnsi="Aptos" w:cs="Aptos" w:eastAsia="Aptos"/>
                <w:b/>
                <w:i w:val="0"/>
                <w:color w:val="2B2B2B"/>
                <w:sz w:val="19"/>
              </w:rPr>
              <w:t>terceira peça</w:t>
            </w:r>
            <w:r>
              <w:rPr>
                <w:rFonts w:ascii="Aptos" w:hAnsi="Aptos" w:cs="Aptos" w:eastAsia="Aptos"/>
                <w:b w:val="0"/>
                <w:i w:val="0"/>
                <w:color w:val="2B2B2B"/>
                <w:sz w:val="19"/>
              </w:rPr>
              <w:t>: a transferência do título de acesso. Com ela, o Diário da República n.º 290 deixa de ser um acaso de calendário editorial e passa a ser o instrumento de uma repartição deliberada de competências. A inferência é própria; as três premissas normativas estão conferidas no jornal oficial.</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de recolha ou captura, havendo evidência de sinais de crimes de maus-tratos</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1.º-A da Lei n.º 92/95, aditado pela Lei n.º 39/2020</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autónomo dos municípios, desde 1.10.2020 — ver ponto 9.5</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alavanca municipal efectiva foi o urbanismo</w:t>
      </w:r>
    </w:p>
    <w:p>
      <w:pPr>
        <w:spacing w:before="0" w:after="140" w:line="293" w:lineRule="auto"/>
        <w:jc w:val="both"/>
      </w:pPr>
      <w:r>
        <w:rPr>
          <w:rFonts w:ascii="Aptos" w:hAnsi="Aptos" w:cs="Aptos" w:eastAsia="Aptos"/>
          <w:b w:val="0"/>
          <w:i w:val="0"/>
          <w:color w:val="2B2B2B"/>
          <w:sz w:val="20"/>
        </w:rPr>
        <w:t>O que antecede sustenta que o sistema é inteiramente reactivo e que o município fica inibido. A audição parlamentar de 30 de julho de 2020 mostra que, no caso de Santo Tirso, o município não ficou inerte — mas que o instrumento que mobilizou não foi nenhum dos dois regimes aqui analisados.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é levado a efeito [a instalação] de um canil num terreno de zona florestal sem qualquer autorização ou licenciamento emitido pela Câmara. […] O processo [deu origem] a uma coima de 500 €, a qual foi impugnada judicialmente e correu termos no Tribunal de Santo Tirso que, por sentença de maio de 2013, decidiu […] e o processo foi instaurado pelo facto de ter levado a cabo operações urbanísticas num terreno na Agrela [onde foi] instalado um canil […] Foi aplicada uma coima de 750 €.</w:t>
            </w:r>
          </w:p>
          <w:p>
            <w:pPr>
              <w:spacing w:before="120" w:after="0" w:line="293" w:lineRule="auto"/>
            </w:pPr>
            <w:r>
              <w:rPr>
                <w:rFonts w:ascii="Aptos" w:hAnsi="Aptos" w:cs="Aptos" w:eastAsia="Aptos"/>
                <w:b w:val="0"/>
                <w:i w:val="0"/>
                <w:color w:val="7C8894"/>
                <w:sz w:val="15"/>
              </w:rPr>
              <w:t>Audição parlamentar n.º 32-CAM-XIV, 30.7.2020, 01:07:44 a 01:08:47 — transcrição automática (ver Anexo C.6)</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Contra um alojamento não titulado, o que o município mobilizou foi o </w:t>
            </w:r>
            <w:r>
              <w:rPr>
                <w:rFonts w:ascii="Aptos" w:hAnsi="Aptos" w:cs="Aptos" w:eastAsia="Aptos"/>
                <w:b/>
                <w:i w:val="0"/>
                <w:color w:val="2B2B2B"/>
                <w:sz w:val="20"/>
              </w:rPr>
              <w:t>regime jurídico da urbanização e edificação</w:t>
            </w:r>
            <w:r>
              <w:rPr>
                <w:rFonts w:ascii="Aptos" w:hAnsi="Aptos" w:cs="Aptos" w:eastAsia="Aptos"/>
                <w:b w:val="0"/>
                <w:i w:val="0"/>
                <w:color w:val="2B2B2B"/>
                <w:sz w:val="20"/>
              </w:rPr>
              <w:t xml:space="preserve">, por operações urbanísticas não licenciadas, com coimas de 500 € e 750 €, uma delas impugnada judicialmente. </w:t>
            </w:r>
            <w:r>
              <w:rPr>
                <w:rFonts w:ascii="Aptos" w:hAnsi="Aptos" w:cs="Aptos" w:eastAsia="Aptos"/>
                <w:b/>
                <w:i w:val="0"/>
                <w:color w:val="2B2B2B"/>
                <w:sz w:val="20"/>
              </w:rPr>
              <w:t>Nenhum dos processos teve por objecto o número de animais, o bem-estar, ou a falta de título de acesso à actividade.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confirmação prática do que este estudo sustenta desde o ponto 9.2: o número não é, em nenhum dos dois regimes, o pressuposto da actuação. Quando o município precisou de um fundamento operativo contra um canil instalado sem título, foi buscá-lo ao controlo prévio das operações urbanísticas — matéria de solo, não de animais. O mesmo abrigo apresentou, aliás, pedidos de informação prévia ao abrigo do regime da urbanização e edificação (01:07:15), o que confirma qual era, na prática, o plano de relação entre o particular e a câmara.</w:t>
            </w:r>
          </w:p>
          <w:p>
            <w:pPr>
              <w:spacing w:before="0" w:after="0" w:line="293" w:lineRule="auto"/>
              <w:jc w:val="both"/>
            </w:pPr>
            <w:r>
              <w:rPr>
                <w:rFonts w:ascii="Aptos" w:hAnsi="Aptos" w:cs="Aptos" w:eastAsia="Aptos"/>
                <w:b w:val="0"/>
                <w:i w:val="0"/>
                <w:color w:val="2B2B2B"/>
                <w:sz w:val="19"/>
              </w:rPr>
              <w:t>E a razão declarada para não ter sido executado o encerramento não foi falta de competência, mas falta de capacidade de acolhimento — «supostamente porque não tinha condições para receber ou encaminhar todos aqueles animais» (00:35:08). É exactamente o custo que este ponto identifica como recaindo sobre quem executa, agora com confirmação em fonte primária.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mesma via aparece na jurisprudência. Em 2006, o Supremo Tribunal Administrativo declarou nulo o licenciamento de um canil com capacidade para cem cães, com hospedagem e criação própria, numa zona do plano diretor municipal destinada dominantemente ao uso residencial (ver 11.6). A capacidade pesou na decisão: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Qualquer pessoa sensata entende que uma instalação para prestar cuidados a cães de terceiros e criar e cuidar de cães próprios, com a capacidade de cem animais é uma unidade de prestação de serviços de dimensão relevante e que tem efeitos necessários no ambiente circundante, desde logo porque não é possível insonorizar os ruídos resultantes de todas as situações que vão ocorrer na prestação deste tipo de serviço.</w:t>
            </w:r>
          </w:p>
          <w:p>
            <w:pPr>
              <w:spacing w:before="120" w:after="0" w:line="293" w:lineRule="auto"/>
            </w:pPr>
            <w:r>
              <w:rPr>
                <w:rFonts w:ascii="Aptos" w:hAnsi="Aptos" w:cs="Aptos" w:eastAsia="Aptos"/>
                <w:b w:val="0"/>
                <w:i w:val="0"/>
                <w:color w:val="7C8894"/>
                <w:sz w:val="15"/>
              </w:rPr>
              <w:t>Acórdão do Supremo Tribunal Administrativo de 7.3.2006, processo n.º 0794/05</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Do lado da Administração, a resposta jurídica dada aos serviços do ICNF, I. P., sobre alojamentos com edificações ilegais vai no mesmo sentido: a reposição da legalidade urbanística cabe à câmara municipal, nos termos dos artigos 102.º e seguintes do regime jurídico da urbanização e edificação, e a demolição ou a cessação da utilização determinaria, «do ponto de vista jurídico, salvo melhor opinião», a caducidade do título do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lotação de um canil de grande dimensão em zona habitacional controla-se pelo uso do solo, pelo artigo 115.º do Regulamento Geral das Edificações Urbanas e pelo ruído, e não pelo n.º 2 do artigo 3.º do Decreto-Lei n.º 314/2003. A resposta deste estudo não deixa, por isso, o alojamento registado sem controlo de dimensão: desloca esse controlo para os planos onde ele já se fazia.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Registo das questões cuja resposta condiciona a conclusão. As questões 1 a 3 foram enumeradas pelo grupo; as 4 a 9 resultaram da análise. </w:t>
      </w:r>
      <w:r>
        <w:rPr>
          <w:rFonts w:ascii="Aptos" w:hAnsi="Aptos" w:cs="Aptos" w:eastAsia="Aptos"/>
          <w:b/>
          <w:i w:val="0"/>
          <w:color w:val="2B2B2B"/>
          <w:sz w:val="20"/>
        </w:rPr>
        <w:t>Todas receberam resposta</w:t>
      </w:r>
      <w:r>
        <w:rPr>
          <w:rFonts w:ascii="Aptos" w:hAnsi="Aptos" w:cs="Aptos" w:eastAsia="Aptos"/>
          <w:b w:val="0"/>
          <w:i w:val="0"/>
          <w:color w:val="2B2B2B"/>
          <w:sz w:val="20"/>
        </w:rPr>
        <w:t>, e o capítulo 2 incorpora o que de cada uma resultou. O quadro mantém-se como registo do percurso e para reabertura, caso surja elemento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nem parecer publicado que resolva expressamente a questão central. Há uma informação interna do gabinete jurídico do ICNF, I. P., de 2022, no sentido deste estudo, e um entendimento contrário dos serviços do mesmo instituto (capítulos 12 e 6.8); nenhum dos dois está publicado.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Não se obteve o texto do acórdão do Tribunal de Matosinhos de 9 de setembro de 2026, sobre os abrigos de Santo Tirso, usado no ponto 9.5 a partir de notícias. É a diligência pendente mais útil, e condiciona o que sobre ele se pode afirmar. Acresce que o PAN anunciou recurso: </w:t>
      </w:r>
      <w:r>
        <w:rPr>
          <w:rFonts w:ascii="Aptos" w:hAnsi="Aptos" w:cs="Aptos" w:eastAsia="Aptos"/>
          <w:b/>
          <w:i w:val="0"/>
          <w:color w:val="2B2B2B"/>
          <w:sz w:val="20"/>
        </w:rPr>
        <w:t>a decisão não transitou</w:t>
      </w:r>
      <w:r>
        <w:rPr>
          <w:rFonts w:ascii="Aptos" w:hAnsi="Aptos" w:cs="Aptos" w:eastAsia="Aptos"/>
          <w:b w:val="0"/>
          <w:i w:val="0"/>
          <w:color w:val="2B2B2B"/>
          <w:sz w:val="20"/>
        </w:rPr>
        <w:t>, e o que dela se escreva é provisório por duas razões — não se leu, e pode ser revogada.</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Obtidas e transcritas as gravações das </w:t>
      </w:r>
      <w:r>
        <w:rPr>
          <w:rFonts w:ascii="Aptos" w:hAnsi="Aptos" w:cs="Aptos" w:eastAsia="Aptos"/>
          <w:b/>
          <w:i w:val="0"/>
          <w:color w:val="2B2B2B"/>
          <w:sz w:val="20"/>
        </w:rPr>
        <w:t>três audições parlamentares</w:t>
      </w:r>
      <w:r>
        <w:rPr>
          <w:rFonts w:ascii="Aptos" w:hAnsi="Aptos" w:cs="Aptos" w:eastAsia="Aptos"/>
          <w:b w:val="0"/>
          <w:i w:val="0"/>
          <w:color w:val="2B2B2B"/>
          <w:sz w:val="20"/>
        </w:rPr>
        <w:t xml:space="preserve"> disponíveis. Da n.º 32-CAM-XIV, de 30 de julho de 2020, ficou estabelecida a qualificação do acto de 2012 — decisão de encerramento em processo de contraordenação, com pedido de diligências ao município. Da n.º 33-CAM-XIV, do mesmo dia, ficou estabelecida a divisão de competências do artigo 3.º-G tal como enunciada em comissão (ver 9.5). A terceira, da Secretária de Estado da Administração Interna, tem por objeto o relatório de inquérito da Inspeção-Geral da Administração Interna e é posterior a 2020; </w:t>
      </w:r>
      <w:r>
        <w:rPr>
          <w:rFonts w:ascii="Aptos" w:hAnsi="Aptos" w:cs="Aptos" w:eastAsia="Aptos"/>
          <w:b/>
          <w:i w:val="0"/>
          <w:color w:val="2B2B2B"/>
          <w:sz w:val="20"/>
        </w:rPr>
        <w:t>a sua data não está estabelecida</w:t>
      </w:r>
      <w:r>
        <w:rPr>
          <w:rFonts w:ascii="Aptos" w:hAnsi="Aptos" w:cs="Aptos" w:eastAsia="Aptos"/>
          <w:b w:val="0"/>
          <w:i w:val="0"/>
          <w:color w:val="2B2B2B"/>
          <w:sz w:val="20"/>
        </w:rPr>
        <w:t>, pelo que dela nada se cita.</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i w:val="0"/>
          <w:color w:val="2B2B2B"/>
          <w:sz w:val="20"/>
        </w:rPr>
        <w:t>Um achado por ausência.</w:t>
      </w:r>
      <w:r>
        <w:rPr>
          <w:rFonts w:ascii="Aptos" w:hAnsi="Aptos" w:cs="Aptos" w:eastAsia="Aptos"/>
          <w:b w:val="0"/>
          <w:i w:val="0"/>
          <w:color w:val="2B2B2B"/>
          <w:sz w:val="20"/>
        </w:rPr>
        <w:t xml:space="preserve"> Ao longo dos 160,5 minutos da audição n.º 33-CAM-XIV, dedicada a um alojamento com dezenas de animais mortos, </w:t>
      </w:r>
      <w:r>
        <w:rPr>
          <w:rFonts w:ascii="Aptos" w:hAnsi="Aptos" w:cs="Aptos" w:eastAsia="Aptos"/>
          <w:b/>
          <w:i w:val="0"/>
          <w:color w:val="2B2B2B"/>
          <w:sz w:val="20"/>
        </w:rPr>
        <w:t>nem o Decreto-Lei n.º 314/2003 nem os limites de detenção por fogo foram uma única vez invocados</w:t>
      </w:r>
      <w:r>
        <w:rPr>
          <w:rFonts w:ascii="Aptos" w:hAnsi="Aptos" w:cs="Aptos" w:eastAsia="Aptos"/>
          <w:b w:val="0"/>
          <w:i w:val="0"/>
          <w:color w:val="2B2B2B"/>
          <w:sz w:val="20"/>
        </w:rPr>
        <w:t xml:space="preserve">, por nenhum dos intervenientes — deputados, Ministro da Administração Interna ou Ministra da Agricultura. Verificado por varrimento dos termos «fogo», «por fogo», «limite de animais», «número de animais», «três cães», «quatro gatos» e «314» na transcrição integral: todas as ocorrências de «fogo» designam o incêndio. É coerente com a resposta deste estudo — os limites por fogo pertencem ao plano da detenção doméstica e não ao dos alojamentos, pelo que não ocorreria a ninguém invocá-los a propósito de um alojamento. Mas é </w:t>
      </w:r>
      <w:r>
        <w:rPr>
          <w:rFonts w:ascii="Aptos" w:hAnsi="Aptos" w:cs="Aptos" w:eastAsia="Aptos"/>
          <w:b/>
          <w:i w:val="0"/>
          <w:color w:val="2B2B2B"/>
          <w:sz w:val="20"/>
        </w:rPr>
        <w:t>argumento de silêncio</w:t>
      </w:r>
      <w:r>
        <w:rPr>
          <w:rFonts w:ascii="Aptos" w:hAnsi="Aptos" w:cs="Aptos" w:eastAsia="Aptos"/>
          <w:b w:val="0"/>
          <w:i w:val="0"/>
          <w:color w:val="2B2B2B"/>
          <w:sz w:val="20"/>
        </w:rPr>
        <w:t>, da mesma família do *expressio unius* que o capítulo 14 substituiu por prova documental, e por isso fica aqui, entre os limites da análise, e não entre os fundamentos.</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Não se obtiveram dois documentos administrativos do caso de Santo Tirso: o </w:t>
      </w:r>
      <w:r>
        <w:rPr>
          <w:rFonts w:ascii="Aptos" w:hAnsi="Aptos" w:cs="Aptos" w:eastAsia="Aptos"/>
          <w:b/>
          <w:i w:val="0"/>
          <w:color w:val="2B2B2B"/>
          <w:sz w:val="20"/>
        </w:rPr>
        <w:t>parecer jurídico de 2018</w:t>
      </w:r>
      <w:r>
        <w:rPr>
          <w:rFonts w:ascii="Aptos" w:hAnsi="Aptos" w:cs="Aptos" w:eastAsia="Aptos"/>
          <w:b w:val="0"/>
          <w:i w:val="0"/>
          <w:color w:val="2B2B2B"/>
          <w:sz w:val="20"/>
        </w:rPr>
        <w:t xml:space="preserve"> obtido pela câmara e o </w:t>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Do primeiro conhece-se o que foi lido em voz alta na audição; do segundo, a qualificação e o sentido, não o texto. A falta perdeu, entretanto, parte da sua gravidade: localizado o artigo 3.º-G, o conteúdo provável do despacho de 2012 deixa de ser conjetura e passa a ser a aplicação de uma norma conhecida (ver 9.5). Procuraram-se; nenhum dos dois é ato sujeito a publicação no Diário da República e a pesquisa não os localizou em fonte primária. Conhecem-se por referência na imprensa, que </w:t>
      </w:r>
      <w:r>
        <w:rPr>
          <w:rFonts w:ascii="Aptos" w:hAnsi="Aptos" w:cs="Aptos" w:eastAsia="Aptos"/>
          <w:b/>
          <w:i w:val="0"/>
          <w:color w:val="2B2B2B"/>
          <w:sz w:val="20"/>
        </w:rPr>
        <w:t>divergem quanto ao conteúdo do despacho de 2012</w:t>
      </w:r>
      <w:r>
        <w:rPr>
          <w:rFonts w:ascii="Aptos" w:hAnsi="Aptos" w:cs="Aptos" w:eastAsia="Aptos"/>
          <w:b w:val="0"/>
          <w:i w:val="0"/>
          <w:color w:val="2B2B2B"/>
          <w:sz w:val="20"/>
        </w:rPr>
        <w:t xml:space="preserve"> — remoção dos animais numa versão, encerramento noutra. Fica assinalado em 9.5, e o estudo não fixa a redação. Vias que restam, por ordem de utilidade: requerimento de acesso a documento administrativo à DGAV e à Câmara Municipal de Santo Tirso, nos termos da Lei n.º 26/2016; as atas da câmara de 2012 e de 2018; e o processo da audição parlamentar de 30 de julho de 2020, onde o assunto foi diretamente tratado.</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Consultou-se o registo oficial das </w:t>
      </w:r>
      <w:r>
        <w:rPr>
          <w:rFonts w:ascii="Aptos" w:hAnsi="Aptos" w:cs="Aptos" w:eastAsia="Aptos"/>
          <w:b/>
          <w:i w:val="0"/>
          <w:color w:val="2B2B2B"/>
          <w:sz w:val="20"/>
        </w:rPr>
        <w:t>audições parlamentares n.ºs 32-CAM-XIV e 33-CAM-XIV, de 30 de julho de 2020</w:t>
      </w:r>
      <w:r>
        <w:rPr>
          <w:rFonts w:ascii="Aptos" w:hAnsi="Aptos" w:cs="Aptos" w:eastAsia="Aptos"/>
          <w:b w:val="0"/>
          <w:i w:val="0"/>
          <w:color w:val="2B2B2B"/>
          <w:sz w:val="20"/>
        </w:rPr>
        <w:t xml:space="preserve">, e obteve-se o requerimento do PAN que fundou a primeira. As audições, porém, </w:t>
      </w:r>
      <w:r>
        <w:rPr>
          <w:rFonts w:ascii="Aptos" w:hAnsi="Aptos" w:cs="Aptos" w:eastAsia="Aptos"/>
          <w:b/>
          <w:i w:val="0"/>
          <w:color w:val="2B2B2B"/>
          <w:sz w:val="20"/>
        </w:rPr>
        <w:t>só têm gravação vídeo e não ata</w:t>
      </w:r>
      <w:r>
        <w:rPr>
          <w:rFonts w:ascii="Aptos" w:hAnsi="Aptos" w:cs="Aptos" w:eastAsia="Aptos"/>
          <w:b w:val="0"/>
          <w:i w:val="0"/>
          <w:color w:val="2B2B2B"/>
          <w:sz w:val="20"/>
        </w:rPr>
        <w:t xml:space="preserve">, pelo que o seu teor não foi transcrito. Ver e transcrever a gravação da audição do presidente da câmara é </w:t>
      </w:r>
      <w:r>
        <w:rPr>
          <w:rFonts w:ascii="Aptos" w:hAnsi="Aptos" w:cs="Aptos" w:eastAsia="Aptos"/>
          <w:b/>
          <w:i w:val="0"/>
          <w:color w:val="2B2B2B"/>
          <w:sz w:val="20"/>
        </w:rPr>
        <w:t>diligência recomendada</w:t>
      </w:r>
      <w:r>
        <w:rPr>
          <w:rFonts w:ascii="Aptos" w:hAnsi="Aptos" w:cs="Aptos" w:eastAsia="Aptos"/>
          <w:b w:val="0"/>
          <w:i w:val="0"/>
          <w:color w:val="2B2B2B"/>
          <w:sz w:val="20"/>
        </w:rPr>
        <w:t>: é a fonte primária mais acessível para as posições institucionais do caso, e é onde o documento de 2012 terá sido discutido em contraditório.</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Quanto ao artigo 3.º-G, ficam por examinar duas coisas. Primeiro, se existe </w:t>
      </w:r>
      <w:r>
        <w:rPr>
          <w:rFonts w:ascii="Aptos" w:hAnsi="Aptos" w:cs="Aptos" w:eastAsia="Aptos"/>
          <w:b/>
          <w:i w:val="0"/>
          <w:color w:val="2B2B2B"/>
          <w:sz w:val="20"/>
        </w:rPr>
        <w:t>prática decisória da DGAV</w:t>
      </w:r>
      <w:r>
        <w:rPr>
          <w:rFonts w:ascii="Aptos" w:hAnsi="Aptos" w:cs="Aptos" w:eastAsia="Aptos"/>
          <w:b w:val="0"/>
          <w:i w:val="0"/>
          <w:color w:val="2B2B2B"/>
          <w:sz w:val="20"/>
        </w:rPr>
        <w:t xml:space="preserve"> ao seu abrigo — despachos de suspensão ou de encerramento —, e se são publicitados no balcão único e no sítio da DGAV, como manda o artigo 3.º-I; havendo-os, medem a efetividade real do regime. Segundo, o que sucedeu, no plano das competências municipais, entre 30 de janeiro e 7 de agosto de 2019, e se algum município usou nesse intervalo o poder que então tinha.</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val="0"/>
          <w:i w:val="0"/>
          <w:color w:val="2B2B2B"/>
          <w:sz w:val="20"/>
        </w:rPr>
        <w:t xml:space="preserve">A </w:t>
      </w:r>
      <w:r>
        <w:rPr>
          <w:rFonts w:ascii="Aptos" w:hAnsi="Aptos" w:cs="Aptos" w:eastAsia="Aptos"/>
          <w:b/>
          <w:i w:val="0"/>
          <w:color w:val="2B2B2B"/>
          <w:sz w:val="20"/>
        </w:rPr>
        <w:t>doutrina em matéria de propriedade horizontal</w:t>
      </w:r>
      <w:r>
        <w:rPr>
          <w:rFonts w:ascii="Aptos" w:hAnsi="Aptos" w:cs="Aptos" w:eastAsia="Aptos"/>
          <w:b w:val="0"/>
          <w:i w:val="0"/>
          <w:color w:val="2B2B2B"/>
          <w:sz w:val="20"/>
        </w:rPr>
        <w:t xml:space="preserve"> referida em 11.3 não foi consultada em primeira mão — conhece-se pela sua refutação no acórdão do Tribunal da Relação de Guimarães. Não afeta a conclusão, porque essa posição é contrária à aqui sustentada apenas quanto ao alcance do n.º 3, e já foi rejeitada pelo tribunal.</w:t>
      </w:r>
    </w:p>
    <w:p>
      <w:pPr>
        <w:spacing w:before="0" w:after="100" w:line="293" w:lineRule="auto"/>
        <w:ind w:left="408" w:hanging="408"/>
        <w:jc w:val="both"/>
      </w:pPr>
      <w:r>
        <w:rPr>
          <w:rFonts w:ascii="Aptos" w:hAnsi="Aptos" w:cs="Aptos" w:eastAsia="Aptos"/>
          <w:b/>
          <w:i w:val="0"/>
          <w:color w:val="5C7891"/>
          <w:sz w:val="20"/>
        </w:rPr>
        <w:t>13.</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o n.º 21, de 30 de janeiro de 2019,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Como chegar ao PDF sem adivinhar o endereço</w:t>
      </w:r>
      <w:r>
        <w:rPr>
          <w:rFonts w:ascii="Aptos" w:hAnsi="Aptos" w:cs="Aptos" w:eastAsia="Aptos"/>
          <w:b w:val="0"/>
          <w:i w:val="0"/>
          <w:color w:val="2B2B2B"/>
          <w:sz w:val="20"/>
        </w:rPr>
        <w:t xml:space="preserve"> — a via fiável é o identificador europeu de legislação. Um endereço da forma `data.dre.pt/eli/&lt;tipo&gt;/&lt;número&gt;/&lt;ano&gt;/&lt;mês&gt;/&lt;dia&gt;/p/dre/pt/pdf` devolve diretamente o PDF do jornal oficial. Para o Decreto-Lei n.º 20/2019, de 30 de janeiro, é `data.dre.pt/eli/dec-lei/20/2019/01/30/p/dre/pt/pdf`. </w:t>
      </w:r>
      <w:r>
        <w:rPr>
          <w:rFonts w:ascii="Aptos" w:hAnsi="Aptos" w:cs="Aptos" w:eastAsia="Aptos"/>
          <w:b/>
          <w:i w:val="0"/>
          <w:color w:val="2B2B2B"/>
          <w:sz w:val="20"/>
        </w:rPr>
        <w:t>Este foi o achado metodológico mais útil do estudo</w:t>
      </w:r>
      <w:r>
        <w:rPr>
          <w:rFonts w:ascii="Aptos" w:hAnsi="Aptos" w:cs="Aptos" w:eastAsia="Aptos"/>
          <w:b w:val="0"/>
          <w:i w:val="0"/>
          <w:color w:val="2B2B2B"/>
          <w:sz w:val="20"/>
        </w:rPr>
        <w:t>: dispensa procurar o número de páginas no nome do ficheiro, que é o que faz falhar a via direta.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p>
            <w:pPr>
              <w:spacing w:before="0" w:after="0" w:line="293" w:lineRule="auto"/>
              <w:jc w:val="both"/>
            </w:pPr>
            <w:r>
              <w:rPr>
                <w:rFonts w:ascii="Aptos" w:hAnsi="Aptos" w:cs="Aptos" w:eastAsia="Aptos"/>
                <w:b w:val="0"/>
                <w:i w:val="0"/>
                <w:color w:val="2B2B2B"/>
                <w:sz w:val="20"/>
              </w:rPr>
              <w:t xml:space="preserve">E a regra não vale só contra compiladores privados. Este estudo encontrou </w:t>
            </w:r>
            <w:r>
              <w:rPr>
                <w:rFonts w:ascii="Aptos" w:hAnsi="Aptos" w:cs="Aptos" w:eastAsia="Aptos"/>
                <w:b/>
                <w:i w:val="0"/>
                <w:color w:val="2B2B2B"/>
                <w:sz w:val="20"/>
              </w:rPr>
              <w:t>um erro na consolidação oficial</w:t>
            </w:r>
            <w:r>
              <w:rPr>
                <w:rFonts w:ascii="Aptos" w:hAnsi="Aptos" w:cs="Aptos" w:eastAsia="Aptos"/>
                <w:b w:val="0"/>
                <w:i w:val="0"/>
                <w:color w:val="2B2B2B"/>
                <w:sz w:val="20"/>
              </w:rPr>
              <w:t>: a indicação de que o artigo 3.º-G do Decreto-Lei n.º 276/2001 teria sido aditado pelo Decreto-Lei n.º 265/2007, quando foi aditado pelo Decreto-Lei n.º 260/2012 — o de 2007 altera daquele diploma apenas o artigo 73.º. O texto do artigo está correto na consolidação; a proveniência não. Quem cite proveniências a partir da consolidação, sem abrir o jornal oficial, arrisca reproduzir o erro. Ver 9.5.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5 e 6 do art.º 3.º-G</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(adit. DL n.º 260/2012)</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Suspensão e encerramento de alojamentos — decisão do diretor-geral; prazo de cinco dias úteis; </w:t>
            </w:r>
            <w:r>
              <w:rPr>
                <w:rFonts w:ascii="Aptos" w:hAnsi="Aptos" w:cs="Aptos" w:eastAsia="Aptos"/>
                <w:b/>
                <w:i w:val="0"/>
                <w:color w:val="2B2B2B"/>
                <w:sz w:val="17"/>
              </w:rPr>
              <w:t>execução e recolha dos animais pelas câmaras municipais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e 6 do art.º 3.º-G</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(red. DL n.º 20/2019)</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Mesma matéria atribuída ao presidente da câmara — vigência cessada em 8.8.2019</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2, 3 e 4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Médico veterinário municipal — autoridade sanitária veterinária concelhia; poderes conferidos pela autoridade nacional a título pessoal e não delegável; decisão «sem dependência hierárquica» por prejuízos graves à saúde pública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Dependência hierárquica e disciplinar do presidente da câmara</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C  </w:t>
      </w:r>
      <w:r>
        <w:rPr>
          <w:rFonts w:ascii="Aptos" w:hAnsi="Aptos" w:cs="Aptos" w:eastAsia="Aptos"/>
          <w:b/>
          <w:i w:val="0"/>
          <w:color w:val="35506B"/>
          <w:sz w:val="27"/>
        </w:rPr>
        <w:t>Bibliografia e fontes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Registam-se todas as fontes efetivamente consultadas, e assinala-se o que delas se leu. Distingue-se o que vale como fonte de direito, o que vale como prática, e o que vale apenas como notícia.</w:t>
      </w:r>
    </w:p>
    <w:p>
      <w:pPr>
        <w:keepNext/>
        <w:spacing w:before="260" w:after="80" w:line="293" w:lineRule="auto"/>
      </w:pPr>
      <w:r>
        <w:rPr>
          <w:rFonts w:ascii="Aptos" w:hAnsi="Aptos" w:cs="Aptos" w:eastAsia="Aptos"/>
          <w:b/>
          <w:i w:val="0"/>
          <w:color w:val="7C8894"/>
          <w:sz w:val="21"/>
        </w:rPr>
        <w:t xml:space="preserve">C.1  </w:t>
      </w:r>
      <w:r>
        <w:rPr>
          <w:rFonts w:ascii="Aptos" w:hAnsi="Aptos" w:cs="Aptos" w:eastAsia="Aptos"/>
          <w:b/>
          <w:i w:val="0"/>
          <w:color w:val="35506B"/>
          <w:sz w:val="21"/>
        </w:rPr>
        <w:t>Legislação — lugar de publicação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314/2003, de 17 de dezembro</w:t>
      </w:r>
      <w:r>
        <w:rPr>
          <w:rFonts w:ascii="Aptos" w:hAnsi="Aptos" w:cs="Aptos" w:eastAsia="Aptos"/>
          <w:b w:val="0"/>
          <w:i w:val="0"/>
          <w:color w:val="2B2B2B"/>
          <w:sz w:val="20"/>
        </w:rPr>
        <w:t xml:space="preserve"> — Programa Nacional de Luta e Vigilância Epidemiológica da Raiva Animal e Outras Zoonoses. Diário da República, I série-A, n.º 290, de 17.12.2003. Texto original conferido em PDF do jornal oficial; o artigo 3.º nunca foi alterado (ver Anexo 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276/2001, de 17 de outubro</w:t>
      </w:r>
      <w:r>
        <w:rPr>
          <w:rFonts w:ascii="Aptos" w:hAnsi="Aptos" w:cs="Aptos" w:eastAsia="Aptos"/>
          <w:b w:val="0"/>
          <w:i w:val="0"/>
          <w:color w:val="2B2B2B"/>
          <w:sz w:val="20"/>
        </w:rPr>
        <w:t xml:space="preserve"> — normas legais de aplicação da Convenção Europeia para a Proteção dos Animais de Companhia. Diário da República, I série-A, n.º 241, de 17.10.2001, que publica também os anexos I a VII.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 primeira alteração ao Decreto-Lei n.º 276/2001; publicado no mesmo Diário da República que o Decreto-Lei n.º 314/2003 (n.º 290, de 17.12.2003). É o diploma que adita a ressalva da al. p) (ver capítulo 14).</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Lei n.º 92/95, de 12 de setembro</w:t>
      </w:r>
      <w:r>
        <w:rPr>
          <w:rFonts w:ascii="Aptos" w:hAnsi="Aptos" w:cs="Aptos" w:eastAsia="Aptos"/>
          <w:b w:val="0"/>
          <w:i w:val="0"/>
          <w:color w:val="2B2B2B"/>
          <w:sz w:val="20"/>
        </w:rPr>
        <w:t xml:space="preserve"> — Proteção dos Animais. Artigo 1.º-A aditado pela </w:t>
      </w:r>
      <w:r>
        <w:rPr>
          <w:rFonts w:ascii="Aptos" w:hAnsi="Aptos" w:cs="Aptos" w:eastAsia="Aptos"/>
          <w:b/>
          <w:i w:val="0"/>
          <w:color w:val="2B2B2B"/>
          <w:sz w:val="20"/>
        </w:rPr>
        <w:t>Lei n.º 39/2020, de 18 de agosto</w:t>
      </w:r>
      <w:r>
        <w:rPr>
          <w:rFonts w:ascii="Aptos" w:hAnsi="Aptos" w:cs="Aptos" w:eastAsia="Aptos"/>
          <w:b w:val="0"/>
          <w:i w:val="0"/>
          <w:color w:val="2B2B2B"/>
          <w:sz w:val="20"/>
        </w:rPr>
        <w:t>, com entrada em vigor a 1.10.2020.</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116/98, de 5 de maio</w:t>
      </w:r>
      <w:r>
        <w:rPr>
          <w:rFonts w:ascii="Aptos" w:hAnsi="Aptos" w:cs="Aptos" w:eastAsia="Aptos"/>
          <w:b w:val="0"/>
          <w:i w:val="0"/>
          <w:color w:val="2B2B2B"/>
          <w:sz w:val="20"/>
        </w:rPr>
        <w:t xml:space="preserve"> — carreira de médico veterinário municipal. Diário da República, I série-A, n.º 103, de 5.5.1998, p. 1990. Página conferida por conversão em imagem; n.ºs 2, 3 e 4 do artigo 2.º e n.º 1 do artigo 4.º citados verbatim no ponto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260/2012, de 12 de dezembro</w:t>
      </w:r>
      <w:r>
        <w:rPr>
          <w:rFonts w:ascii="Aptos" w:hAnsi="Aptos" w:cs="Aptos" w:eastAsia="Aptos"/>
          <w:b w:val="0"/>
          <w:i w:val="0"/>
          <w:color w:val="2B2B2B"/>
          <w:sz w:val="20"/>
        </w:rPr>
        <w:t xml:space="preserve"> — adita ao Decreto-Lei n.º 276/2001 os artigos 3.º-B a 3.º-J, entre eles o </w:t>
      </w:r>
      <w:r>
        <w:rPr>
          <w:rFonts w:ascii="Aptos" w:hAnsi="Aptos" w:cs="Aptos" w:eastAsia="Aptos"/>
          <w:b/>
          <w:i w:val="0"/>
          <w:color w:val="2B2B2B"/>
          <w:sz w:val="20"/>
        </w:rPr>
        <w:t>artigo 3.º-G</w:t>
      </w:r>
      <w:r>
        <w:rPr>
          <w:rFonts w:ascii="Aptos" w:hAnsi="Aptos" w:cs="Aptos" w:eastAsia="Aptos"/>
          <w:b w:val="0"/>
          <w:i w:val="0"/>
          <w:color w:val="2B2B2B"/>
          <w:sz w:val="20"/>
        </w:rPr>
        <w:t xml:space="preserve"> (suspensão e encerramento de alojamentos). Diário da República, 1.ª série, n.º 240, de 12.12.2012, pp. 6981-6982. </w:t>
      </w:r>
      <w:r>
        <w:rPr>
          <w:rFonts w:ascii="Aptos" w:hAnsi="Aptos" w:cs="Aptos" w:eastAsia="Aptos"/>
          <w:b/>
          <w:i w:val="0"/>
          <w:color w:val="2B2B2B"/>
          <w:sz w:val="20"/>
        </w:rPr>
        <w:t>Conferido no jornal oficial</w:t>
      </w:r>
      <w:r>
        <w:rPr>
          <w:rFonts w:ascii="Aptos" w:hAnsi="Aptos" w:cs="Aptos" w:eastAsia="Aptos"/>
          <w:b w:val="0"/>
          <w:i w:val="0"/>
          <w:color w:val="2B2B2B"/>
          <w:sz w:val="20"/>
        </w:rPr>
        <w:t>, contra indicação errada da consolidação oficial (ver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265/2007, de 24 de julho</w:t>
      </w:r>
      <w:r>
        <w:rPr>
          <w:rFonts w:ascii="Aptos" w:hAnsi="Aptos" w:cs="Aptos" w:eastAsia="Aptos"/>
          <w:b w:val="0"/>
          <w:i w:val="0"/>
          <w:color w:val="2B2B2B"/>
          <w:sz w:val="20"/>
        </w:rPr>
        <w:t xml:space="preserve"> — Diário da República, 1.ª série, n.º 141, de 24.7.2007. Consultado para excluir a atribuição que lhe é feita pela consolidação: do Decreto-Lei n.º 276/2001 altera apenas o artigo 73.º, pelo seu artigo 21.º.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20/2019, de 30 de janeiro</w:t>
      </w:r>
      <w:r>
        <w:rPr>
          <w:rFonts w:ascii="Aptos" w:hAnsi="Aptos" w:cs="Aptos" w:eastAsia="Aptos"/>
          <w:b w:val="0"/>
          <w:i w:val="0"/>
          <w:color w:val="2B2B2B"/>
          <w:sz w:val="20"/>
        </w:rPr>
        <w:t xml:space="preserve"> — transferência de competências para os órgãos municipais nos domínios da proteção e saúde animal e da segurança dos alimentos. Diário da República, 1.ª série, n.º 21, de 30.1.2019; o artigo 3.º-G do Decreto-Lei n.º 276/2001 na sua redação consta de p. 671. </w:t>
      </w:r>
      <w:r>
        <w:rPr>
          <w:rFonts w:ascii="Aptos" w:hAnsi="Aptos" w:cs="Aptos" w:eastAsia="Aptos"/>
          <w:b/>
          <w:i w:val="0"/>
          <w:color w:val="2B2B2B"/>
          <w:sz w:val="20"/>
        </w:rPr>
        <w:t>Vigência cessada</w:t>
      </w:r>
      <w:r>
        <w:rPr>
          <w:rFonts w:ascii="Aptos" w:hAnsi="Aptos" w:cs="Aptos" w:eastAsia="Aptos"/>
          <w:b w:val="0"/>
          <w:i w:val="0"/>
          <w:color w:val="2B2B2B"/>
          <w:sz w:val="20"/>
        </w:rPr>
        <w:t xml:space="preserve"> pela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10/2015, de 16 de janeiro</w:t>
      </w:r>
      <w:r>
        <w:rPr>
          <w:rFonts w:ascii="Aptos" w:hAnsi="Aptos" w:cs="Aptos" w:eastAsia="Aptos"/>
          <w:b w:val="0"/>
          <w:i w:val="0"/>
          <w:color w:val="2B2B2B"/>
          <w:sz w:val="20"/>
        </w:rPr>
        <w:t xml:space="preserve"> — Regime Jurídico de Acesso e Exercício de Atividades de Comércio, Serviços e Restauração.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Regulamento Geral das Edificações Urbanas</w:t>
      </w:r>
      <w:r>
        <w:rPr>
          <w:rFonts w:ascii="Aptos" w:hAnsi="Aptos" w:cs="Aptos" w:eastAsia="Aptos"/>
          <w:b w:val="0"/>
          <w:i w:val="0"/>
          <w:color w:val="2B2B2B"/>
          <w:sz w:val="20"/>
        </w:rPr>
        <w:t xml:space="preserve"> (Decreto-Lei n.º 38 382, de 7 de agosto de 1951) — artigos 66.º e 67.º, base do conceito de «fogo». Revogação suspensa pelo artigo 25.º do Decreto-Lei n.º 10/2024, na redação do </w:t>
      </w:r>
      <w:r>
        <w:rPr>
          <w:rFonts w:ascii="Aptos" w:hAnsi="Aptos" w:cs="Aptos" w:eastAsia="Aptos"/>
          <w:b/>
          <w:i w:val="0"/>
          <w:color w:val="2B2B2B"/>
          <w:sz w:val="20"/>
        </w:rPr>
        <w:t>Decreto-Lei n.º 108/2026</w:t>
      </w:r>
      <w:r>
        <w:rPr>
          <w:rFonts w:ascii="Aptos" w:hAnsi="Aptos" w:cs="Aptos" w:eastAsia="Aptos"/>
          <w:b w:val="0"/>
          <w:i w:val="0"/>
          <w:color w:val="2B2B2B"/>
          <w:sz w:val="20"/>
        </w:rPr>
        <w:t>, Diário da República n.º 104, de 29.5.2026.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555/99, de 16 de dezembro</w:t>
      </w:r>
      <w:r>
        <w:rPr>
          <w:rFonts w:ascii="Aptos" w:hAnsi="Aptos" w:cs="Aptos" w:eastAsia="Aptos"/>
          <w:b w:val="0"/>
          <w:i w:val="0"/>
          <w:color w:val="2B2B2B"/>
          <w:sz w:val="20"/>
        </w:rPr>
        <w:t xml:space="preserve"> (RJUE), na redação do Decreto-Lei n.º 108/2026 — al. a) do n.º 5 do artigo 6.º e al. c) do n.º 2 do artigo 14.º.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433/82, de 27 de outubro</w:t>
      </w:r>
      <w:r>
        <w:rPr>
          <w:rFonts w:ascii="Aptos" w:hAnsi="Aptos" w:cs="Aptos" w:eastAsia="Aptos"/>
          <w:b w:val="0"/>
          <w:i w:val="0"/>
          <w:color w:val="2B2B2B"/>
          <w:sz w:val="20"/>
        </w:rPr>
        <w:t xml:space="preserve"> (RGCO) — artigo 2.º, Diário da República de 27.10.1982, p. 3553; artigo 19.º na redação do </w:t>
      </w:r>
      <w:r>
        <w:rPr>
          <w:rFonts w:ascii="Aptos" w:hAnsi="Aptos" w:cs="Aptos" w:eastAsia="Aptos"/>
          <w:b/>
          <w:i w:val="0"/>
          <w:color w:val="2B2B2B"/>
          <w:sz w:val="20"/>
        </w:rPr>
        <w:t>Decreto-Lei n.º 244/95, de 14 de setembro</w:t>
      </w:r>
      <w:r>
        <w:rPr>
          <w:rFonts w:ascii="Aptos" w:hAnsi="Aptos" w:cs="Aptos" w:eastAsia="Aptos"/>
          <w:b w:val="0"/>
          <w:i w:val="0"/>
          <w:color w:val="2B2B2B"/>
          <w:sz w:val="20"/>
        </w:rPr>
        <w:t>, Diário da República n.º 213, de 14.9.1995, p. 5783.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Civil</w:t>
      </w:r>
      <w:r>
        <w:rPr>
          <w:rFonts w:ascii="Aptos" w:hAnsi="Aptos" w:cs="Aptos" w:eastAsia="Aptos"/>
          <w:b w:val="0"/>
          <w:i w:val="0"/>
          <w:color w:val="2B2B2B"/>
          <w:sz w:val="20"/>
        </w:rPr>
        <w:t xml:space="preserve"> — artigo 7.º, Diário do Governo n.º 274, I série, de 25.11.1966, p. 1886 (digitalização conferida por conversão em imagem); al. a) do n.º 2 do artigo 1083.º.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Constituição da República Portuguesa</w:t>
      </w:r>
      <w:r>
        <w:rPr>
          <w:rFonts w:ascii="Aptos" w:hAnsi="Aptos" w:cs="Aptos" w:eastAsia="Aptos"/>
          <w:b w:val="0"/>
          <w:i w:val="0"/>
          <w:color w:val="2B2B2B"/>
          <w:sz w:val="20"/>
        </w:rPr>
        <w:t xml:space="preserve"> — n.º 2 do artigo 112.º, conferido em edição institucional em PDF.</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do Imposto Municipal sobre Imóveis</w:t>
      </w:r>
      <w:r>
        <w:rPr>
          <w:rFonts w:ascii="Aptos" w:hAnsi="Aptos" w:cs="Aptos" w:eastAsia="Aptos"/>
          <w:b w:val="0"/>
          <w:i w:val="0"/>
          <w:color w:val="2B2B2B"/>
          <w:sz w:val="20"/>
        </w:rPr>
        <w:t xml:space="preserve"> — artigos 2.º a 6.º, classificação predial.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82/2019, de 27 de junho</w:t>
      </w:r>
      <w:r>
        <w:rPr>
          <w:rFonts w:ascii="Aptos" w:hAnsi="Aptos" w:cs="Aptos" w:eastAsia="Aptos"/>
          <w:b w:val="0"/>
          <w:i w:val="0"/>
          <w:color w:val="2B2B2B"/>
          <w:sz w:val="20"/>
        </w:rPr>
        <w:t xml:space="preserve"> (SIAC); </w:t>
      </w:r>
      <w:r>
        <w:rPr>
          <w:rFonts w:ascii="Aptos" w:hAnsi="Aptos" w:cs="Aptos" w:eastAsia="Aptos"/>
          <w:b/>
          <w:i w:val="0"/>
          <w:color w:val="2B2B2B"/>
          <w:sz w:val="20"/>
        </w:rPr>
        <w:t>Decreto-Lei n.º 313/2003, de 17 de dezembro</w:t>
      </w:r>
      <w:r>
        <w:rPr>
          <w:rFonts w:ascii="Aptos" w:hAnsi="Aptos" w:cs="Aptos" w:eastAsia="Aptos"/>
          <w:b w:val="0"/>
          <w:i w:val="0"/>
          <w:color w:val="2B2B2B"/>
          <w:sz w:val="20"/>
        </w:rPr>
        <w:t xml:space="preserve">; </w:t>
      </w:r>
      <w:r>
        <w:rPr>
          <w:rFonts w:ascii="Aptos" w:hAnsi="Aptos" w:cs="Aptos" w:eastAsia="Aptos"/>
          <w:b/>
          <w:i w:val="0"/>
          <w:color w:val="2B2B2B"/>
          <w:sz w:val="20"/>
        </w:rPr>
        <w:t>Portaria n.º 264/2013, de 16 de agosto</w:t>
      </w:r>
      <w:r>
        <w:rPr>
          <w:rFonts w:ascii="Aptos" w:hAnsi="Aptos" w:cs="Aptos" w:eastAsia="Aptos"/>
          <w:b w:val="0"/>
          <w:i w:val="0"/>
          <w:color w:val="2B2B2B"/>
          <w:sz w:val="20"/>
        </w:rPr>
        <w:t xml:space="preserve">; </w:t>
      </w:r>
      <w:r>
        <w:rPr>
          <w:rFonts w:ascii="Aptos" w:hAnsi="Aptos" w:cs="Aptos" w:eastAsia="Aptos"/>
          <w:b/>
          <w:i w:val="0"/>
          <w:color w:val="2B2B2B"/>
          <w:sz w:val="20"/>
        </w:rPr>
        <w:t>Decreto-Lei n.º 91/2001</w:t>
      </w:r>
      <w:r>
        <w:rPr>
          <w:rFonts w:ascii="Aptos" w:hAnsi="Aptos" w:cs="Aptos" w:eastAsia="Aptos"/>
          <w:b w:val="0"/>
          <w:i w:val="0"/>
          <w:color w:val="2B2B2B"/>
          <w:sz w:val="20"/>
        </w:rPr>
        <w:t xml:space="preserve"> (revogado pelo artigo 19.º do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Método.</w:t>
            </w:r>
            <w:r>
              <w:rPr>
                <w:rFonts w:ascii="Aptos" w:hAnsi="Aptos" w:cs="Aptos" w:eastAsia="Aptos"/>
                <w:b w:val="0"/>
                <w:i w:val="0"/>
                <w:color w:val="2B2B2B"/>
                <w:sz w:val="19"/>
              </w:rPr>
              <w:t xml:space="preserve"> Toda a citação legal deste estudo foi conferida contra o PDF do jornal oficial, pelo caminho descrito no ponto 18.2. Os compiladores privados serviram para localizar normas, nunca para as citar.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C.2  </w:t>
      </w:r>
      <w:r>
        <w:rPr>
          <w:rFonts w:ascii="Aptos" w:hAnsi="Aptos" w:cs="Aptos" w:eastAsia="Aptos"/>
          <w:b/>
          <w:i w:val="0"/>
          <w:color w:val="35506B"/>
          <w:sz w:val="21"/>
        </w:rPr>
        <w:t>Jurisprudência consultada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Central Administrativo Sul de 4.2.2010</w:t>
      </w:r>
      <w:r>
        <w:rPr>
          <w:rFonts w:ascii="Aptos" w:hAnsi="Aptos" w:cs="Aptos" w:eastAsia="Aptos"/>
          <w:b w:val="0"/>
          <w:i w:val="0"/>
          <w:color w:val="2B2B2B"/>
          <w:sz w:val="20"/>
        </w:rPr>
        <w:t>, processo n.º 04784/09, relator Rui Pereira — descritores «alojamento de animais» e «prédio misto». Citado em 11.1.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Lisboa de 28.6.2007</w:t>
      </w:r>
      <w:r>
        <w:rPr>
          <w:rFonts w:ascii="Aptos" w:hAnsi="Aptos" w:cs="Aptos" w:eastAsia="Aptos"/>
          <w:b w:val="0"/>
          <w:i w:val="0"/>
          <w:color w:val="2B2B2B"/>
          <w:sz w:val="20"/>
        </w:rPr>
        <w:t>, processo n.º 1692/2007-8, relator Salazar Casanova. Citado em 11.2.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Guimarães de 19.5.2022</w:t>
      </w:r>
      <w:r>
        <w:rPr>
          <w:rFonts w:ascii="Aptos" w:hAnsi="Aptos" w:cs="Aptos" w:eastAsia="Aptos"/>
          <w:b w:val="0"/>
          <w:i w:val="0"/>
          <w:color w:val="2B2B2B"/>
          <w:sz w:val="20"/>
        </w:rPr>
        <w:t>, processo n.º 119/20.1T8FAF.G1, relator José Carlos Duarte. Citado em 11.3.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descarregados e lidos na íntegra nas bases dos tribunais superiores. Resultado negativo registado em 11.5.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Judicial da Comarca do Porto, juízo central criminal de Matosinhos, de 9.9.2026</w:t>
      </w:r>
      <w:r>
        <w:rPr>
          <w:rFonts w:ascii="Aptos" w:hAnsi="Aptos" w:cs="Aptos" w:eastAsia="Aptos"/>
          <w:b w:val="0"/>
          <w:i w:val="0"/>
          <w:color w:val="2B2B2B"/>
          <w:sz w:val="20"/>
        </w:rPr>
        <w:t xml:space="preserve"> — abrigos de Santo Tirso. </w:t>
      </w:r>
      <w:r>
        <w:rPr>
          <w:rFonts w:ascii="Aptos" w:hAnsi="Aptos" w:cs="Aptos" w:eastAsia="Aptos"/>
          <w:b/>
          <w:i w:val="0"/>
          <w:color w:val="2B2B2B"/>
          <w:sz w:val="20"/>
        </w:rPr>
        <w:t>Texto não obtido</w:t>
      </w:r>
      <w:r>
        <w:rPr>
          <w:rFonts w:ascii="Aptos" w:hAnsi="Aptos" w:cs="Aptos" w:eastAsia="Aptos"/>
          <w:b w:val="0"/>
          <w:i w:val="0"/>
          <w:color w:val="2B2B2B"/>
          <w:sz w:val="20"/>
        </w:rPr>
        <w:t>; usado no ponto 9.5 apenas por notícia da leitura oral. Decisão objeto de recurso anunciado.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Supremo Tribunal Administrativo de 7.3.2006</w:t>
      </w:r>
      <w:r>
        <w:rPr>
          <w:rFonts w:ascii="Aptos" w:hAnsi="Aptos" w:cs="Aptos" w:eastAsia="Aptos"/>
          <w:b w:val="0"/>
          <w:i w:val="0"/>
          <w:color w:val="2B2B2B"/>
          <w:sz w:val="20"/>
        </w:rPr>
        <w:t>, processo n.º 0794/05, relator Rosendo José. Texto integral no Apêndice ao Diário da República (cópia no repositório: «DL 314-2003 - acórdão tribunal.pdf»). Citado em 11.6 e 15.7.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Supremo Tribunal Administrativo de 23.9.1993</w:t>
      </w:r>
      <w:r>
        <w:rPr>
          <w:rFonts w:ascii="Aptos" w:hAnsi="Aptos" w:cs="Aptos" w:eastAsia="Aptos"/>
          <w:b w:val="0"/>
          <w:i w:val="0"/>
          <w:color w:val="2B2B2B"/>
          <w:sz w:val="20"/>
        </w:rPr>
        <w:t>, processo n.º 032630, relator Nascimento Costa. Só sumário na base de dados. Citado em 11.6.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Acórdãos do Supremo Tribunal Administrativo de 13.6.1952</w:t>
      </w:r>
      <w:r>
        <w:rPr>
          <w:rFonts w:ascii="Aptos" w:hAnsi="Aptos" w:cs="Aptos" w:eastAsia="Aptos"/>
          <w:b w:val="0"/>
          <w:i w:val="0"/>
          <w:color w:val="2B2B2B"/>
          <w:sz w:val="20"/>
        </w:rPr>
        <w:t xml:space="preserve">, processo n.º 003887, e </w:t>
      </w:r>
      <w:r>
        <w:rPr>
          <w:rFonts w:ascii="Aptos" w:hAnsi="Aptos" w:cs="Aptos" w:eastAsia="Aptos"/>
          <w:b/>
          <w:i w:val="0"/>
          <w:color w:val="2B2B2B"/>
          <w:sz w:val="20"/>
        </w:rPr>
        <w:t>do Pleno de 16.7.1953</w:t>
      </w:r>
      <w:r>
        <w:rPr>
          <w:rFonts w:ascii="Aptos" w:hAnsi="Aptos" w:cs="Aptos" w:eastAsia="Aptos"/>
          <w:b w:val="0"/>
          <w:i w:val="0"/>
          <w:color w:val="2B2B2B"/>
          <w:sz w:val="20"/>
        </w:rPr>
        <w:t>, processo n.º 000702, relator Pita e Castro. Só sumário. Citados em 11.6.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Acórdãos do Supremo Tribunal Administrativo de 15.12.2004</w:t>
      </w:r>
      <w:r>
        <w:rPr>
          <w:rFonts w:ascii="Aptos" w:hAnsi="Aptos" w:cs="Aptos" w:eastAsia="Aptos"/>
          <w:b w:val="0"/>
          <w:i w:val="0"/>
          <w:color w:val="2B2B2B"/>
          <w:sz w:val="20"/>
        </w:rPr>
        <w:t xml:space="preserve">, processo n.º 0992/04, e </w:t>
      </w:r>
      <w:r>
        <w:rPr>
          <w:rFonts w:ascii="Aptos" w:hAnsi="Aptos" w:cs="Aptos" w:eastAsia="Aptos"/>
          <w:b/>
          <w:i w:val="0"/>
          <w:color w:val="2B2B2B"/>
          <w:sz w:val="20"/>
        </w:rPr>
        <w:t>do Pleno de 16.12.2015</w:t>
      </w:r>
      <w:r>
        <w:rPr>
          <w:rFonts w:ascii="Aptos" w:hAnsi="Aptos" w:cs="Aptos" w:eastAsia="Aptos"/>
          <w:b w:val="0"/>
          <w:i w:val="0"/>
          <w:color w:val="2B2B2B"/>
          <w:sz w:val="20"/>
        </w:rPr>
        <w:t>, processo n.º 0517/14. Citados em 11.6.</w:t>
      </w:r>
    </w:p>
    <w:p>
      <w:pPr>
        <w:keepNext/>
        <w:spacing w:before="260" w:after="80" w:line="293" w:lineRule="auto"/>
      </w:pPr>
      <w:r>
        <w:rPr>
          <w:rFonts w:ascii="Aptos" w:hAnsi="Aptos" w:cs="Aptos" w:eastAsia="Aptos"/>
          <w:b/>
          <w:i w:val="0"/>
          <w:color w:val="7C8894"/>
          <w:sz w:val="21"/>
        </w:rPr>
        <w:t xml:space="preserve">C.3  </w:t>
      </w:r>
      <w:r>
        <w:rPr>
          <w:rFonts w:ascii="Aptos" w:hAnsi="Aptos" w:cs="Aptos" w:eastAsia="Aptos"/>
          <w:b/>
          <w:i w:val="0"/>
          <w:color w:val="35506B"/>
          <w:sz w:val="21"/>
        </w:rPr>
        <w:t>Doutrina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BRANCO, Bruno Filipe Salvador da Silva</w:t>
      </w:r>
      <w:r>
        <w:rPr>
          <w:rFonts w:ascii="Aptos" w:hAnsi="Aptos" w:cs="Aptos" w:eastAsia="Aptos"/>
          <w:b w:val="0"/>
          <w:i w:val="0"/>
          <w:color w:val="2B2B2B"/>
          <w:sz w:val="20"/>
        </w:rPr>
        <w:t xml:space="preserve">, «A detenção de animais de companhia — uma análise do ponto de vista contraordenacional», *Revista Jurídica Luso-Brasileira*, Ano 5 (2019), n.º 2, pp. 229-260. Centro de Investigação de Direito Privado da Faculdade de Direito da Universidade de Lisboa. </w:t>
      </w:r>
      <w:r>
        <w:rPr>
          <w:rFonts w:ascii="Aptos" w:hAnsi="Aptos" w:cs="Aptos" w:eastAsia="Aptos"/>
          <w:b/>
          <w:i w:val="0"/>
          <w:color w:val="2B2B2B"/>
          <w:sz w:val="20"/>
        </w:rPr>
        <w:t>Lido integralmente</w:t>
      </w:r>
      <w:r>
        <w:rPr>
          <w:rFonts w:ascii="Aptos" w:hAnsi="Aptos" w:cs="Aptos" w:eastAsia="Aptos"/>
          <w:b w:val="0"/>
          <w:i w:val="0"/>
          <w:color w:val="2B2B2B"/>
          <w:sz w:val="20"/>
        </w:rPr>
        <w:t>; tratado em 11.4. É a única fonte doutrinal localizada que trata o artigo 3.º na perspetiva da fiscalização.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Posição doutrinal sobre os limites do artigo 3.º em propriedade horizontal</w:t>
      </w:r>
      <w:r>
        <w:rPr>
          <w:rFonts w:ascii="Aptos" w:hAnsi="Aptos" w:cs="Aptos" w:eastAsia="Aptos"/>
          <w:b w:val="0"/>
          <w:i w:val="0"/>
          <w:color w:val="2B2B2B"/>
          <w:sz w:val="20"/>
        </w:rPr>
        <w:t xml:space="preserve"> — sustenta que os limites valem apenas para prevenção de zoonoses e não limitam os poderes do proprietário de fracção autónoma. Referida em 11.3 pelo seu conteúdo, por não ter sido acolhida pelo Tribunal da Relação de Guimarães. </w:t>
      </w:r>
      <w:r>
        <w:rPr>
          <w:rFonts w:ascii="Aptos" w:hAnsi="Aptos" w:cs="Aptos" w:eastAsia="Aptos"/>
          <w:b/>
          <w:i w:val="0"/>
          <w:color w:val="2B2B2B"/>
          <w:sz w:val="20"/>
        </w:rPr>
        <w:t>Fonte não consultada em primeira mão.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Lacuna assumida.</w:t>
            </w:r>
            <w:r>
              <w:rPr>
                <w:rFonts w:ascii="Aptos" w:hAnsi="Aptos" w:cs="Aptos" w:eastAsia="Aptos"/>
                <w:b w:val="0"/>
                <w:i w:val="0"/>
                <w:color w:val="2B2B2B"/>
                <w:sz w:val="19"/>
              </w:rPr>
              <w:t xml:space="preserve"> Não se localizou doutrina que trate a questão deste estudo — se os limites por fogo fixam a lotação de um alojamento registado —, nem doutrina, jurisprudência ou parecer sobre a ressalva da al. p) do n.º 1 do artigo 2.º do Decreto-Lei n.º 276/2001 (ver 14.4). O raciocínio dos capítulos 9, 14 e 15 é próprio.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C.4  </w:t>
      </w:r>
      <w:r>
        <w:rPr>
          <w:rFonts w:ascii="Aptos" w:hAnsi="Aptos" w:cs="Aptos" w:eastAsia="Aptos"/>
          <w:b/>
          <w:i w:val="0"/>
          <w:color w:val="35506B"/>
          <w:sz w:val="21"/>
        </w:rPr>
        <w:t>Fontes administrativas e institucionais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versão de julho de 2025. Tratada em 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Diário da República, 2.ª série, n.º 22; artigo 13.º.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Comunidade Intermunicipal do Alto Minho</w:t>
      </w:r>
      <w:r>
        <w:rPr>
          <w:rFonts w:ascii="Aptos" w:hAnsi="Aptos" w:cs="Aptos" w:eastAsia="Aptos"/>
          <w:b w:val="0"/>
          <w:i w:val="0"/>
          <w:color w:val="2B2B2B"/>
          <w:sz w:val="20"/>
        </w:rPr>
        <w:t xml:space="preserve"> — perguntas frequentes sobre animais de companhia.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ICNF, I. P., Gabinete de Apoio Jurídico e Contencioso, Informação interna n.º I-013109/2022, de 16.5.2022</w:t>
      </w:r>
      <w:r>
        <w:rPr>
          <w:rFonts w:ascii="Aptos" w:hAnsi="Aptos" w:cs="Aptos" w:eastAsia="Aptos"/>
          <w:b w:val="0"/>
          <w:i w:val="0"/>
          <w:color w:val="2B2B2B"/>
          <w:sz w:val="20"/>
        </w:rPr>
        <w:t xml:space="preserve">, processo P-020019/2022. </w:t>
      </w:r>
      <w:r>
        <w:rPr>
          <w:rFonts w:ascii="Aptos" w:hAnsi="Aptos" w:cs="Aptos" w:eastAsia="Aptos"/>
          <w:b/>
          <w:i w:val="0"/>
          <w:color w:val="2B2B2B"/>
          <w:sz w:val="20"/>
        </w:rPr>
        <w:t>Lida integralmente</w:t>
      </w:r>
      <w:r>
        <w:rPr>
          <w:rFonts w:ascii="Aptos" w:hAnsi="Aptos" w:cs="Aptos" w:eastAsia="Aptos"/>
          <w:b w:val="0"/>
          <w:i w:val="0"/>
          <w:color w:val="2B2B2B"/>
          <w:sz w:val="20"/>
        </w:rPr>
        <w:t xml:space="preserve"> (cópia no repositório: «DL314.pdf»). Não publicada. Tratada em 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Serviços do ICNF, I. P., documento interno «Dúvidas alojamento animais»</w:t>
      </w:r>
      <w:r>
        <w:rPr>
          <w:rFonts w:ascii="Aptos" w:hAnsi="Aptos" w:cs="Aptos" w:eastAsia="Aptos"/>
          <w:b w:val="0"/>
          <w:i w:val="0"/>
          <w:color w:val="2B2B2B"/>
          <w:sz w:val="20"/>
        </w:rPr>
        <w:t xml:space="preserve">, com respostas jurídicas aos pontos 1 e 3. Ficheiro datado de 21.12.2025, de conteúdo anterior a 1.7.2025. </w:t>
      </w:r>
      <w:r>
        <w:rPr>
          <w:rFonts w:ascii="Aptos" w:hAnsi="Aptos" w:cs="Aptos" w:eastAsia="Aptos"/>
          <w:b/>
          <w:i w:val="0"/>
          <w:color w:val="2B2B2B"/>
          <w:sz w:val="20"/>
        </w:rPr>
        <w:t>Lido integralmente</w:t>
      </w:r>
      <w:r>
        <w:rPr>
          <w:rFonts w:ascii="Aptos" w:hAnsi="Aptos" w:cs="Aptos" w:eastAsia="Aptos"/>
          <w:b w:val="0"/>
          <w:i w:val="0"/>
          <w:color w:val="2B2B2B"/>
          <w:sz w:val="20"/>
        </w:rPr>
        <w:t xml:space="preserve"> (cópia no repositório: «DúvidasAlojamentoAnimais.docx»). Tratado em 6.8 e 15.7.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Parecer jurídico externo obtido pela Câmara Municipal de Santo Tirso (2018)</w:t>
      </w:r>
      <w:r>
        <w:rPr>
          <w:rFonts w:ascii="Aptos" w:hAnsi="Aptos" w:cs="Aptos" w:eastAsia="Aptos"/>
          <w:b w:val="0"/>
          <w:i w:val="0"/>
          <w:color w:val="2B2B2B"/>
          <w:sz w:val="20"/>
        </w:rPr>
        <w:t xml:space="preserve"> — conclui que «as câmaras não têm competência para encerrar abrigos de animais». </w:t>
      </w:r>
      <w:r>
        <w:rPr>
          <w:rFonts w:ascii="Aptos" w:hAnsi="Aptos" w:cs="Aptos" w:eastAsia="Aptos"/>
          <w:b/>
          <w:i w:val="0"/>
          <w:color w:val="2B2B2B"/>
          <w:sz w:val="20"/>
        </w:rPr>
        <w:t>Texto não obtido</w:t>
      </w:r>
      <w:r>
        <w:rPr>
          <w:rFonts w:ascii="Aptos" w:hAnsi="Aptos" w:cs="Aptos" w:eastAsia="Aptos"/>
          <w:b w:val="0"/>
          <w:i w:val="0"/>
          <w:color w:val="2B2B2B"/>
          <w:sz w:val="20"/>
        </w:rPr>
        <w:t>; conhecido por referência na imprensa. Tratado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dirigido à Câmara Municipal de Santo Tirso a propósito do abrigo «Cantinho das Quatro Patas». </w:t>
      </w:r>
      <w:r>
        <w:rPr>
          <w:rFonts w:ascii="Aptos" w:hAnsi="Aptos" w:cs="Aptos" w:eastAsia="Aptos"/>
          <w:b/>
          <w:i w:val="0"/>
          <w:color w:val="2B2B2B"/>
          <w:sz w:val="20"/>
        </w:rPr>
        <w:t>Texto não obtido</w:t>
      </w:r>
      <w:r>
        <w:rPr>
          <w:rFonts w:ascii="Aptos" w:hAnsi="Aptos" w:cs="Aptos" w:eastAsia="Aptos"/>
          <w:b w:val="0"/>
          <w:i w:val="0"/>
          <w:color w:val="2B2B2B"/>
          <w:sz w:val="20"/>
        </w:rPr>
        <w:t xml:space="preserve">, e procurado sem êxito: não é ato sujeito a publicação no Diário da República, e a pesquisa não o localizou em fonte primária. Conhece-se pelas notícias de 31.7.2020 e pelas declarações do presidente da câmara nessa data, que o confirmam mas divergem quanto ao seu conteúdo — diligências para </w:t>
      </w:r>
      <w:r>
        <w:rPr>
          <w:rFonts w:ascii="Aptos" w:hAnsi="Aptos" w:cs="Aptos" w:eastAsia="Aptos"/>
          <w:b/>
          <w:i w:val="0"/>
          <w:color w:val="2B2B2B"/>
          <w:sz w:val="20"/>
        </w:rPr>
        <w:t>retirar os animais</w:t>
      </w:r>
      <w:r>
        <w:rPr>
          <w:rFonts w:ascii="Aptos" w:hAnsi="Aptos" w:cs="Aptos" w:eastAsia="Aptos"/>
          <w:b w:val="0"/>
          <w:i w:val="0"/>
          <w:color w:val="2B2B2B"/>
          <w:sz w:val="20"/>
        </w:rPr>
        <w:t xml:space="preserve">, numa versão; </w:t>
      </w:r>
      <w:r>
        <w:rPr>
          <w:rFonts w:ascii="Aptos" w:hAnsi="Aptos" w:cs="Aptos" w:eastAsia="Aptos"/>
          <w:b/>
          <w:i w:val="0"/>
          <w:color w:val="2B2B2B"/>
          <w:sz w:val="20"/>
        </w:rPr>
        <w:t>encerramento</w:t>
      </w:r>
      <w:r>
        <w:rPr>
          <w:rFonts w:ascii="Aptos" w:hAnsi="Aptos" w:cs="Aptos" w:eastAsia="Aptos"/>
          <w:b w:val="0"/>
          <w:i w:val="0"/>
          <w:color w:val="2B2B2B"/>
          <w:sz w:val="20"/>
        </w:rPr>
        <w:t xml:space="preserve"> do abrigo, noutra. Tratado em 9.5, com a divergência assinalada.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«Esclarecimento sobre legalidade dos alojamentos de hospedagem de animais sem fins lucrativos afetados pelo incêndio de Santo Tirso»</w:t>
      </w:r>
      <w:r>
        <w:rPr>
          <w:rFonts w:ascii="Aptos" w:hAnsi="Aptos" w:cs="Aptos" w:eastAsia="Aptos"/>
          <w:b w:val="0"/>
          <w:i w:val="0"/>
          <w:color w:val="2B2B2B"/>
          <w:sz w:val="20"/>
        </w:rPr>
        <w:t xml:space="preserve">, XXII Governo, Secretaria de Estado da Agricultura e do Desenvolvimento Rural, 21.7.2020. </w:t>
      </w:r>
      <w:r>
        <w:rPr>
          <w:rFonts w:ascii="Aptos" w:hAnsi="Aptos" w:cs="Aptos" w:eastAsia="Aptos"/>
          <w:b/>
          <w:i w:val="0"/>
          <w:color w:val="2B2B2B"/>
          <w:sz w:val="20"/>
        </w:rPr>
        <w:t>Lido.</w:t>
      </w:r>
      <w:r>
        <w:rPr>
          <w:rFonts w:ascii="Aptos" w:hAnsi="Aptos" w:cs="Aptos" w:eastAsia="Aptos"/>
          <w:b w:val="0"/>
          <w:i w:val="0"/>
          <w:color w:val="2B2B2B"/>
          <w:sz w:val="20"/>
        </w:rPr>
        <w:t xml:space="preserve"> Fonte do histórico de vistorias desde 2006, da intervenção da DGAV desde 2010 e da afirmação de que os dois espaços nunca cumpriram os procedimentos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n.º 6928/2020, de 19 de junho</w:t>
      </w:r>
      <w:r>
        <w:rPr>
          <w:rFonts w:ascii="Aptos" w:hAnsi="Aptos" w:cs="Aptos" w:eastAsia="Aptos"/>
          <w:b w:val="0"/>
          <w:i w:val="0"/>
          <w:color w:val="2B2B2B"/>
          <w:sz w:val="20"/>
        </w:rPr>
        <w:t xml:space="preserve"> — Grupo de Trabalho para o Bem-Estar Animal, invocado naquele esclarecimento.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Requerimento do Grupo Parlamentar do PAN de 22 de julho de 2020</w:t>
      </w:r>
      <w:r>
        <w:rPr>
          <w:rFonts w:ascii="Aptos" w:hAnsi="Aptos" w:cs="Aptos" w:eastAsia="Aptos"/>
          <w:b w:val="0"/>
          <w:i w:val="0"/>
          <w:color w:val="2B2B2B"/>
          <w:sz w:val="20"/>
        </w:rPr>
        <w:t xml:space="preserve">, dirigido ao presidente da Comissão de Agricultura e Mar, para audição do presidente da Câmara Municipal de Santo Tirso (Audição parlamentar n.º 32-CAM-XIV). </w:t>
      </w:r>
      <w:r>
        <w:rPr>
          <w:rFonts w:ascii="Aptos" w:hAnsi="Aptos" w:cs="Aptos" w:eastAsia="Aptos"/>
          <w:b/>
          <w:i w:val="0"/>
          <w:color w:val="2B2B2B"/>
          <w:sz w:val="20"/>
        </w:rPr>
        <w:t>Obtido e lido na íntegra.</w:t>
      </w:r>
      <w:r>
        <w:rPr>
          <w:rFonts w:ascii="Aptos" w:hAnsi="Aptos" w:cs="Aptos" w:eastAsia="Aptos"/>
          <w:b w:val="0"/>
          <w:i w:val="0"/>
          <w:color w:val="2B2B2B"/>
          <w:sz w:val="20"/>
        </w:rPr>
        <w:t xml:space="preserve"> É a fonte que permitiu localizar o artigo 3.º-G, e é onde consta a transcrição desatualizada desse artigo tratada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32-CAM-XIV</w:t>
      </w:r>
      <w:r>
        <w:rPr>
          <w:rFonts w:ascii="Aptos" w:hAnsi="Aptos" w:cs="Aptos" w:eastAsia="Aptos"/>
          <w:b w:val="0"/>
          <w:i w:val="0"/>
          <w:color w:val="2B2B2B"/>
          <w:sz w:val="20"/>
        </w:rPr>
        <w:t xml:space="preserve">, Comissão de Agricultura e Mar, 30.7.2020 — presidente da Câmara Municipal de Santo Tirso, a requerimento do PAN. Registo oficial consultado; </w:t>
      </w:r>
      <w:r>
        <w:rPr>
          <w:rFonts w:ascii="Aptos" w:hAnsi="Aptos" w:cs="Aptos" w:eastAsia="Aptos"/>
          <w:b/>
          <w:i w:val="0"/>
          <w:color w:val="2B2B2B"/>
          <w:sz w:val="20"/>
        </w:rPr>
        <w:t>existe gravação vídeo e não ata</w:t>
      </w:r>
      <w:r>
        <w:rPr>
          <w:rFonts w:ascii="Aptos" w:hAnsi="Aptos" w:cs="Aptos" w:eastAsia="Aptos"/>
          <w:b w:val="0"/>
          <w:i w:val="0"/>
          <w:color w:val="2B2B2B"/>
          <w:sz w:val="20"/>
        </w:rPr>
        <w:t>, pelo que o teor não foi transcrito.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33-CAM-XIV</w:t>
      </w:r>
      <w:r>
        <w:rPr>
          <w:rFonts w:ascii="Aptos" w:hAnsi="Aptos" w:cs="Aptos" w:eastAsia="Aptos"/>
          <w:b w:val="0"/>
          <w:i w:val="0"/>
          <w:color w:val="2B2B2B"/>
          <w:sz w:val="20"/>
        </w:rPr>
        <w:t>, na mesma data — Ministra da Agricultura, Ministro da Administração Interna e Secretária de Estado da Administração Interna, a requerimento do BE, do PAN e da Deputada Não Inscrita Cristina Rodrigues. Idem.</w:t>
      </w:r>
    </w:p>
    <w:p>
      <w:pPr>
        <w:keepNext/>
        <w:spacing w:before="260" w:after="80" w:line="293" w:lineRule="auto"/>
      </w:pPr>
      <w:r>
        <w:rPr>
          <w:rFonts w:ascii="Aptos" w:hAnsi="Aptos" w:cs="Aptos" w:eastAsia="Aptos"/>
          <w:b/>
          <w:i w:val="0"/>
          <w:color w:val="7C8894"/>
          <w:sz w:val="21"/>
        </w:rPr>
        <w:t xml:space="preserve">C.5  </w:t>
      </w:r>
      <w:r>
        <w:rPr>
          <w:rFonts w:ascii="Aptos" w:hAnsi="Aptos" w:cs="Aptos" w:eastAsia="Aptos"/>
          <w:b/>
          <w:i w:val="0"/>
          <w:color w:val="35506B"/>
          <w:sz w:val="21"/>
        </w:rPr>
        <w:t>Imprensa — caso de Santo Tirso</w:t>
      </w:r>
    </w:p>
    <w:p>
      <w:pPr>
        <w:spacing w:before="0" w:after="140" w:line="293" w:lineRule="auto"/>
        <w:jc w:val="both"/>
      </w:pPr>
      <w:r>
        <w:rPr>
          <w:rFonts w:ascii="Aptos" w:hAnsi="Aptos" w:cs="Aptos" w:eastAsia="Aptos"/>
          <w:b w:val="0"/>
          <w:i w:val="0"/>
          <w:color w:val="2B2B2B"/>
          <w:sz w:val="20"/>
        </w:rPr>
        <w:t>Usada exclusivamente para o apuramento factual do ponto 9.5, e identificada como tal. Não vale como fonte de direito. As peças consultadas divergem no número de animais mortos (54, 73, 92, 93), pelo que o estudo não fixa um número.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20.7.2020 — «Abrigos de animais de Santo Tirso eram ilegais e já tinham sido fiscalizados»; e, na mesma data, a suspensão do médico veterinário municipal pela câmara.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Diário de Notícias</w:t>
      </w:r>
      <w:r>
        <w:rPr>
          <w:rFonts w:ascii="Aptos" w:hAnsi="Aptos" w:cs="Aptos" w:eastAsia="Aptos"/>
          <w:b w:val="0"/>
          <w:i w:val="0"/>
          <w:color w:val="2B2B2B"/>
          <w:sz w:val="20"/>
        </w:rPr>
        <w:t xml:space="preserve"> e </w:t>
      </w:r>
      <w:r>
        <w:rPr>
          <w:rFonts w:ascii="Aptos" w:hAnsi="Aptos" w:cs="Aptos" w:eastAsia="Aptos"/>
          <w:b/>
          <w:i w:val="0"/>
          <w:color w:val="2B2B2B"/>
          <w:sz w:val="20"/>
        </w:rPr>
        <w:t>Observador</w:t>
      </w:r>
      <w:r>
        <w:rPr>
          <w:rFonts w:ascii="Aptos" w:hAnsi="Aptos" w:cs="Aptos" w:eastAsia="Aptos"/>
          <w:b w:val="0"/>
          <w:i w:val="0"/>
          <w:color w:val="2B2B2B"/>
          <w:sz w:val="20"/>
        </w:rPr>
        <w:t xml:space="preserve">, 31.7.2020 — «Autarca diz só soube há dias da notificação de 2012 para fechar canil» / «Autarca de Santo Tirso "só nos últimos dias" soube que DGAV quis fechar abrigo em 2012». </w:t>
      </w:r>
      <w:r>
        <w:rPr>
          <w:rFonts w:ascii="Aptos" w:hAnsi="Aptos" w:cs="Aptos" w:eastAsia="Aptos"/>
          <w:b/>
          <w:i w:val="0"/>
          <w:color w:val="2B2B2B"/>
          <w:sz w:val="20"/>
        </w:rPr>
        <w:t>Fonte da transcrição das declarações do presidente da câmara citada em 9.5</w:t>
      </w:r>
      <w:r>
        <w:rPr>
          <w:rFonts w:ascii="Aptos" w:hAnsi="Aptos" w:cs="Aptos" w:eastAsia="Aptos"/>
          <w:b w:val="0"/>
          <w:i w:val="0"/>
          <w:color w:val="2B2B2B"/>
          <w:sz w:val="20"/>
        </w:rPr>
        <w:t>, e do parecer de 2018. É também daqui que resulta a divergência sobre o conteúdo do despacho de 2012.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11.12.2024 — remessa do processo para julgamento; identificação dos arguidos e do número de crimes imputados a cada um.</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Cronologia processual</w:t>
      </w:r>
      <w:r>
        <w:rPr>
          <w:rFonts w:ascii="Aptos" w:hAnsi="Aptos" w:cs="Aptos" w:eastAsia="Aptos"/>
          <w:b w:val="0"/>
          <w:i w:val="0"/>
          <w:color w:val="2B2B2B"/>
          <w:sz w:val="20"/>
        </w:rPr>
        <w:t xml:space="preserve"> — arquivamento pelo Ministério Público no final de 2022 por insuficiência de prova; reabertura em 26.3.2023 por impulso do PAN e de associações; pronúncia em dezembro de 2024; início do julgamento em 24.2.2026.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Jornal de Notícias</w:t>
      </w:r>
      <w:r>
        <w:rPr>
          <w:rFonts w:ascii="Aptos" w:hAnsi="Aptos" w:cs="Aptos" w:eastAsia="Aptos"/>
          <w:b w:val="0"/>
          <w:i w:val="0"/>
          <w:color w:val="2B2B2B"/>
          <w:sz w:val="20"/>
        </w:rPr>
        <w:t xml:space="preserve"> — cobertura do julgamento, incluindo a posição do Ministério Público de não ver prova de crime.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da leitura da decisão de 9.9.2026</w:t>
      </w:r>
      <w:r>
        <w:rPr>
          <w:rFonts w:ascii="Aptos" w:hAnsi="Aptos" w:cs="Aptos" w:eastAsia="Aptos"/>
          <w:b w:val="0"/>
          <w:i w:val="0"/>
          <w:color w:val="2B2B2B"/>
          <w:sz w:val="20"/>
        </w:rPr>
        <w:t xml:space="preserve"> — absolvição dos cinco arguidos e fundamento relativo à ausência de poderes para ordenar a evacuação forçada; anúncio de recurso pelo PAN, assistente no processo.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parlamentar de 2020</w:t>
      </w:r>
      <w:r>
        <w:rPr>
          <w:rFonts w:ascii="Aptos" w:hAnsi="Aptos" w:cs="Aptos" w:eastAsia="Aptos"/>
          <w:b w:val="0"/>
          <w:i w:val="0"/>
          <w:color w:val="2B2B2B"/>
          <w:sz w:val="20"/>
        </w:rPr>
        <w:t xml:space="preserve"> — pedido do PEV de levantamento nacional dos abrigos privados e pedido do Bloco de Esquerda de esclarecimentos ministeriais.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Observador</w:t>
      </w:r>
      <w:r>
        <w:rPr>
          <w:rFonts w:ascii="Aptos" w:hAnsi="Aptos" w:cs="Aptos" w:eastAsia="Aptos"/>
          <w:b w:val="0"/>
          <w:i w:val="0"/>
          <w:color w:val="2B2B2B"/>
          <w:sz w:val="20"/>
        </w:rPr>
        <w:t xml:space="preserve"> — trabalho sobre a relação entre a proibição do abate e o crescimento de abrigos clandestinos.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w:t>
            </w:r>
            <w:r>
              <w:rPr>
                <w:rFonts w:ascii="Aptos" w:hAnsi="Aptos" w:cs="Aptos" w:eastAsia="Aptos"/>
                <w:b w:val="0"/>
                <w:i w:val="0"/>
                <w:color w:val="2B2B2B"/>
                <w:sz w:val="19"/>
              </w:rPr>
              <w:t xml:space="preserve"> Tudo o que no ponto 9.5 provém desta secção está aí assinalado como resultante de notícia. O estudo não retira do caso de Santo Tirso qualquer conclusão jurídica que não esteja independentemente fundada na lei — o caso serve de ilustração e de teste à tese, nunca de premissa.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C.6  </w:t>
      </w:r>
      <w:r>
        <w:rPr>
          <w:rFonts w:ascii="Aptos" w:hAnsi="Aptos" w:cs="Aptos" w:eastAsia="Aptos"/>
          <w:b/>
          <w:i w:val="0"/>
          <w:color w:val="35506B"/>
          <w:sz w:val="21"/>
        </w:rPr>
        <w:t>Audições parlamentares — gravações e regime de citação</w:t>
      </w:r>
    </w:p>
    <w:p>
      <w:pPr>
        <w:spacing w:before="0" w:after="140" w:line="293" w:lineRule="auto"/>
        <w:jc w:val="both"/>
      </w:pPr>
      <w:r>
        <w:rPr>
          <w:rFonts w:ascii="Aptos" w:hAnsi="Aptos" w:cs="Aptos" w:eastAsia="Aptos"/>
          <w:b w:val="0"/>
          <w:i w:val="0"/>
          <w:color w:val="2B2B2B"/>
          <w:sz w:val="20"/>
        </w:rPr>
        <w:t>Foram obtidas as gravações das audições da Comissão de Agricultura e Mar de 30 de julho de 2020 sobre o caso, e transcritas localmente. Substituem, para os pontos onde são invocadas, as fontes de imprensa da secção C.5.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81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Audição</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Entidade ouvida</w:t>
            </w:r>
          </w:p>
        </w:tc>
        <w:tc>
          <w:tcPr>
            <w:tcW w:type="dxa" w:w="13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Duração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181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32-CAM-XIV</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Municipal de Santo Tirso, a requerimento do PAN</w:t>
            </w:r>
          </w:p>
        </w:tc>
        <w:tc>
          <w:tcPr>
            <w:tcW w:type="dxa" w:w="13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109,6 min</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Transcrita e analisada</w:t>
            </w:r>
          </w:p>
        </w:tc>
      </w:tr>
      <w:tr>
        <w:trPr>
          <w:cantSplit/>
        </w:trPr>
        <w:tc>
          <w:tcPr>
            <w:tcW w:type="dxa" w:w="181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33-CAM-XIV</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Ministro da Administração Interna e Ministra da Agricultura, a requerimento do BE, do PAN e da Deputada Não Inscrita Cristina Rodrigues</w:t>
            </w:r>
          </w:p>
        </w:tc>
        <w:tc>
          <w:tcPr>
            <w:tcW w:type="dxa" w:w="13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160,8 min</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Por transcrever</w:t>
            </w:r>
          </w:p>
        </w:tc>
      </w:tr>
      <w:tr>
        <w:trPr>
          <w:cantSplit/>
        </w:trPr>
        <w:tc>
          <w:tcPr>
            <w:tcW w:type="dxa" w:w="181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Excerto da n.º 33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Secretária de Estado da Administração Interna</w:t>
            </w:r>
          </w:p>
        </w:tc>
        <w:tc>
          <w:tcPr>
            <w:tcW w:type="dxa" w:w="13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73,2 min</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Por transcrever; pode ser recorte da anterior</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20"/>
              </w:rPr>
              <w:t>Regime de citação — leia-se antes de usar qualquer citação com marca temporal.</w:t>
            </w:r>
            <w:r>
              <w:rPr>
                <w:rFonts w:ascii="Aptos" w:hAnsi="Aptos" w:cs="Aptos" w:eastAsia="Aptos"/>
                <w:b w:val="0"/>
                <w:i w:val="0"/>
                <w:color w:val="2B2B2B"/>
                <w:sz w:val="20"/>
              </w:rPr>
              <w:t xml:space="preserve"> As transcrições foram produzidas por modelo automático de reconhecimento de fala, em português. </w:t>
            </w:r>
            <w:r>
              <w:rPr>
                <w:rFonts w:ascii="Aptos" w:hAnsi="Aptos" w:cs="Aptos" w:eastAsia="Aptos"/>
                <w:b/>
                <w:i w:val="0"/>
                <w:color w:val="2B2B2B"/>
                <w:sz w:val="20"/>
              </w:rPr>
              <w:t>Não são, nem substituem, transcrição oficial da Assembleia da República</w:t>
            </w:r>
            <w:r>
              <w:rPr>
                <w:rFonts w:ascii="Aptos" w:hAnsi="Aptos" w:cs="Aptos" w:eastAsia="Aptos"/>
                <w:b w:val="0"/>
                <w:i w:val="0"/>
                <w:color w:val="2B2B2B"/>
                <w:sz w:val="20"/>
              </w:rPr>
              <w:t>, que para estas audições não existe: o registo oficial disponibiliza o requerimento que as motivou e uma gravação, sem ata.</w:t>
            </w:r>
          </w:p>
          <w:p>
            <w:pPr>
              <w:spacing w:before="0" w:after="0" w:line="293" w:lineRule="auto"/>
              <w:jc w:val="both"/>
            </w:pPr>
            <w:r>
              <w:rPr>
                <w:rFonts w:ascii="Aptos" w:hAnsi="Aptos" w:cs="Aptos" w:eastAsia="Aptos"/>
                <w:b w:val="0"/>
                <w:i w:val="0"/>
                <w:color w:val="2B2B2B"/>
                <w:sz w:val="20"/>
              </w:rPr>
              <w:t xml:space="preserve">Em consequência: (i) cada citação é seguida da </w:t>
            </w:r>
            <w:r>
              <w:rPr>
                <w:rFonts w:ascii="Aptos" w:hAnsi="Aptos" w:cs="Aptos" w:eastAsia="Aptos"/>
                <w:b/>
                <w:i w:val="0"/>
                <w:color w:val="2B2B2B"/>
                <w:sz w:val="20"/>
              </w:rPr>
              <w:t>marca temporal</w:t>
            </w:r>
            <w:r>
              <w:rPr>
                <w:rFonts w:ascii="Aptos" w:hAnsi="Aptos" w:cs="Aptos" w:eastAsia="Aptos"/>
                <w:b w:val="0"/>
                <w:i w:val="0"/>
                <w:color w:val="2B2B2B"/>
                <w:sz w:val="20"/>
              </w:rPr>
              <w:t>, para que possa ser conferida na gravação; (ii) as passagens decisivas foram reprocessadas com modelo de maior dimensão antes de serem citadas; (iii) as correcções evidentes de nomes e de termos técnicos vão entre parênteses rectos, como «[Santo Tirso]»; (iv) nenhuma conclusão jurídica deste estudo assenta apenas numa destas citações — todas têm fundamento normativo independente, conferido no jornal oficial.</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Limite assumido.</w:t>
            </w:r>
            <w:r>
              <w:rPr>
                <w:rFonts w:ascii="Aptos" w:hAnsi="Aptos" w:cs="Aptos" w:eastAsia="Aptos"/>
                <w:b w:val="0"/>
                <w:i w:val="0"/>
                <w:color w:val="2B2B2B"/>
                <w:sz w:val="19"/>
              </w:rPr>
              <w:t xml:space="preserve"> O modelo troca nomes próprios com frequência — escreveu «São Justiça» e «Santista» por Santo Tirso, «de gaiva» e «de Grave» por DGAV. Onde a substância de uma passagem dependesse de um nome ou de um número mal reconhecido, a passagem não foi usada. Quem repita o trabalho deve reprocessar a janela em causa antes de citar.</w:t>
            </w:r>
          </w:p>
        </w:tc>
      </w:tr>
    </w:tbl>
    <w:p>
      <w:pPr>
        <w:spacing w:before="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