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t>Limites de detenção por fogo e lotação dos alojamentos registados</w:t>
      </w:r>
    </w:p>
    <w:p>
      <w:pPr>
        <w:spacing w:before="120"/>
      </w:pPr>
      <w:r>
        <w:t>Questão</w:t>
      </w:r>
    </w:p>
    <w:p>
      <w:pPr>
        <w:jc w:val="both"/>
      </w:pPr>
      <w:r>
        <w:t>Os limites de animais fixados no n.º 2 do artigo 3.º do Decreto-Lei n.º 314/2003, de 17 de dezembro, fixam a lotação de um alojamento registado por mera comunicação prévia nos termos do artigo 3.º-A do Decreto-Lei n.º 276/2001, de 17 de outubro?</w:t>
      </w:r>
    </w:p>
    <w:p>
      <w:pPr>
        <w:spacing w:before="120"/>
      </w:pPr>
      <w:r>
        <w:t>Resposta</w:t>
      </w:r>
    </w:p>
    <w:p>
      <w:pPr>
        <w:jc w:val="both"/>
      </w:pPr>
      <w:r>
        <w:t>Não. Os limites do n.º 2 contam por fogo, e um alojamento registado não é um fogo. A lotação do alojamento rege-se pelo Decreto-Lei n.º 276/2001. O dever geral de salubridade do n.º 1 do mesmo artigo aplica-se sempre, incluindo ao alojamento registado.</w:t>
      </w:r>
    </w:p>
    <w:p>
      <w:pPr>
        <w:spacing w:before="120"/>
      </w:pPr>
      <w:r>
        <w:t>Fundamentos</w:t>
      </w:r>
    </w:p>
    <w:p>
      <w:pPr>
        <w:jc w:val="both"/>
      </w:pPr>
      <w:r>
        <w:t>1. A unidade de contagem é o fogo, não o prédio. «Nos prédios urbanos podem ser alojados até três cães ou quatro gatos adultos por cada fogo, não podendo no total ser excedido o número de quatro animais, excepto se, a pedido do detentor, e mediante parecer vinculativo do médico veterinário municipal e do delegado de saúde, for autorizado alojamento até ao máximo de seis animais adultos» (n.º 2 do artigo 3.º do Decreto-Lei n.º 314/2003). Fogo é a unidade de habitação. Um prédio com dez fogos comporta dez vezes o limite. Onde não há fogo, a norma não tem a que se aplicar.</w:t>
      </w:r>
    </w:p>
    <w:p>
      <w:pPr>
        <w:jc w:val="both"/>
      </w:pPr>
      <w:r>
        <w:t>2. Um alojamento registado não é um fogo. A lei impõe-lhe uma estrutura que a habitação não tem: «Os alojamentos para a reprodução/criação […] devem possuir instalações individualizadas destinadas à maternidade e à criação até à idade adulta, a quarentena, a enfermaria, o manuseamento de alimentos e à higienização dos animais» (n.º 2 do artigo 25.º do Decreto-Lei n.º 276/2001). Cumprir esta norma é constituir um conjunto distinto da casa.</w:t>
      </w:r>
    </w:p>
    <w:p>
      <w:pPr>
        <w:jc w:val="both"/>
      </w:pPr>
      <w:r>
        <w:t>3. A lotação do alojamento tem regime próprio e completo. A comunicação prévia indica «A capacidade máxima de animais e respetivas espécies a alojar» (alínea h) do n.º 1 do artigo 3.º-A), capacidade limitada materialmente pelas «dimensões mínimas indicadas no anexo iii» (n.º 1 do artigo 27.º). Havendo regime especial, não há lacuna a preencher com norma de outro diploma.</w:t>
      </w:r>
    </w:p>
    <w:p>
      <w:pPr>
        <w:jc w:val="both"/>
      </w:pPr>
      <w:r>
        <w:t>4. A norma sancionatória confirma o objeto doméstico do artigo 3.º. Pune-se «A permanência de cães e gatos em habitações e terrenos anexos em desrespeito pelas condições previstas no artigo 3.º» (alínea c) do n.º 3 do artigo 14.º do Decreto-Lei n.º 314/2003). Para os estabelecimentos, o mesmo diploma tem artigo e alínea sancionatória próprios (artigo 5.º e alínea f) do mesmo número). Os terrenos anexos alargam o n.º 1 ao quintal; não convertem o fogo do n.º 2 em prédio.</w:t>
      </w:r>
    </w:p>
    <w:p>
      <w:pPr>
        <w:jc w:val="both"/>
      </w:pPr>
      <w:r>
        <w:t>5. O desenho é do próprio legislador e está documentado. No Diário da República, I série-A, n.º 290, de 17 de dezembro de 2003, o Decreto-Lei n.º 315/2003 entregou o título de acesso dos alojamentos ao diretor-geral, o Decreto-Lei n.º 314/2003 criou os limites por fogo e entregou às câmaras a vistoria e a remoção, e a alínea p) do primeiro excluiu as frações autónomas da hospedagem sem fins lucrativos. No mesmo dia, a atividade subiu para a autoridade nacional e a densidade doméstica ficou no município.</w:t>
      </w:r>
    </w:p>
    <w:p>
      <w:pPr>
        <w:jc w:val="both"/>
      </w:pPr>
      <w:r>
        <w:t>6. A leitura contrária conduz ao absurdo. Se o n.º 2 fosse teto do prédio urbano, nenhum hotel para animais, centro de atendimento médico-veterinário, loja ou centro de recolha oficial instalado em prédio urbano poderia ter mais de seis animais. E o próprio n.º 5 manda remover animais «para o canil ou gatil municipal», que ficaria impedido de os receber.</w:t>
      </w:r>
    </w:p>
    <w:p>
      <w:pPr>
        <w:spacing w:before="120"/>
      </w:pPr>
      <w:r>
        <w:t>Ressalvas, que fazem parte da resposta</w:t>
      </w:r>
    </w:p>
    <w:p>
      <w:pPr>
        <w:jc w:val="both"/>
      </w:pPr>
      <w:r>
        <w:t>7. Registar não isenta do dever de salubridade. «O alojamento de cães e gatos em prédios urbanos, rústicos ou mistos, fica sempre condicionado à existência de boas condições do mesmo e ausência de riscos hígio-sanitários relativamente à conspurcação ambiental e doenças transmissíveis ao homem» (n.º 1 do artigo 3.º do Decreto-Lei n.º 314/2003). O próprio registo obriga a declarar o cumprimento da legislação aplicável (alínea j) do n.º 1 do artigo 3.º-A do Decreto-Lei n.º 276/2001).</w:t>
      </w:r>
    </w:p>
    <w:p>
      <w:pPr>
        <w:jc w:val="both"/>
      </w:pPr>
      <w:r>
        <w:t>8. Há um caso em que a resposta é afirmativa. O titular de alojamento registado que mantém os animais dentro de casa, como animais do agregado, está no fogo. Aplica-se-lhe o n.º 2, com o máximo de seis animais mediante parecer vinculativo do médico veterinário municipal e do delegado de saúde.</w:t>
      </w:r>
    </w:p>
    <w:p>
      <w:pPr>
        <w:spacing w:before="120"/>
      </w:pPr>
      <w:r>
        <w:t>A dimensão do alojamento não fica sem controlo</w:t>
      </w:r>
    </w:p>
    <w:p>
      <w:pPr>
        <w:jc w:val="both"/>
      </w:pPr>
      <w:r>
        <w:t>9. Controlam-na o anexo III; o n.º 1 do artigo 3.º do Decreto-Lei n.º 314/2003; o encerramento por despacho do diretor-geral de Alimentação e Veterinária, designadamente por «Maus tratos aos animais» ou por «graves problemas de saúde e bem-estar dos animais», com execução pelas câmaras (n.ºs 1 e 6 do artigo 3.º-G do Decreto-Lei n.º 276/2001); o uso do solo, tendo o Supremo Tribunal Administrativo declarado nulo o licenciamento de um canil para cem cães em zona de uso dominantemente residencial (acórdão de 7.3.2006, processo n.º 0794/05); e o ruído. A lotação de um canil de grande dimensão em zona habitacional controla-se por estas vias, e não pelo limite por fogo.</w:t>
      </w:r>
    </w:p>
    <w:p>
      <w:pPr>
        <w:spacing w:before="120"/>
      </w:pPr>
      <w:r>
        <w:t>Posição da Administração</w:t>
      </w:r>
    </w:p>
    <w:p>
      <w:pPr>
        <w:jc w:val="both"/>
      </w:pPr>
      <w:r>
        <w:t>10. A autoridade então competente concluiu no mesmo sentido. A Informação interna n.º I-013109/2022 do Gabinete de Apoio Jurídico e Contencioso do ICNF, I. P., de 16 de maio de 2022, conclui que «não há lugar para a aplicação do Decreto-Lei nº314/2003 em conjugação do Decreto-Lei nº 276/2001, relativamente à limitação do número de animais imposta pelo artigo 3º do Decreto-lei nº 314/2003». Os serviços do mesmo instituto sustentaram entendimento contrário, que não discute a unidade de contagem e cuja premissa sanitária é satisfeita pelo n.º 1, aplicável sempre.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ptos" w:hAnsi="Aptos" w:eastAsia="Aptos" w:cs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