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28"/>
        </w:rPr>
        <w:t>Notas de apoio à atividade ministerial</w:t>
      </w:r>
    </w:p>
    <w:p/>
    <w:p>
      <w:r>
        <w:rPr>
          <w:b/>
          <w:color w:val="000000"/>
          <w:sz w:val="28"/>
        </w:rPr>
        <w:t xml:space="preserve">Tema: </w:t>
      </w:r>
      <w:r>
        <w:rPr>
          <w:b/>
          <w:color w:val="000000"/>
          <w:sz w:val="28"/>
        </w:rPr>
        <w:t>Regime Geral do Animal de Companhia (RGAC)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370"/>
        <w:gridCol w:w="6134"/>
      </w:tblGrid>
      <w:tr>
        <w:tc>
          <w:tcPr>
            <w:tcW w:type="dxa" w:w="2370"/>
            <w:shd w:val="clear" w:color="auto" w:fill="D9D9D9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Enquadramento do tema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O Regime Geral do Animal de Companhia, doravante designado RGAC, constitui uma proposta de agregação do ordenamento jurídico português dedicado aos animais de companhia.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Visa-se ainda a instituição de novos mecanismos que permitam densificar a proteção do bem-estar animal e a vinculação ao dever de detenção responsável, em resposta às fragilidades identificadas no regime de detenção e no controlo de animais errantes.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Todo o tratamento jurídico das matérias respeitantes aos animais de companhia será revisto e reformulado, excluindo apenas as de natureza específica que justifiquem tratamento autónomo.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processo iniciou-se após a transição de competências concretizada a 1 de julho de 2025, por força do Decreto-Lei n.º 63/2025, de 7 de abril. Desde então, o seu desenvolvimento tem sido assegurado em conciliação com as obrigações decorrentes da operacionalização dos avisos de apoio ao bem-estar dos animais de companhia, designadamente a sua preparação, publicação, análise e efetivação.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10 de agosto de 2026 foi publicado no Jornal Oficial da União Europeia o Regulamento (UE) 2026/1818 do Parlamento Europeu e do Conselho, de 17 de junho de 2026, relativo ao bem-estar dos cães e dos gatos e à respetiva rastreabilidade, que passa a ser o referencial europeu de aplicação direta com o qual o RGAC tem de ser compatibilizado.</w:t>
            </w:r>
          </w:p>
        </w:tc>
      </w:tr>
      <w:tr>
        <w:tc>
          <w:tcPr>
            <w:tcW w:type="dxa" w:w="2370"/>
            <w:shd w:val="clear" w:color="auto" w:fill="D9D9D9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Pontos sensíveis /</w:t>
            </w:r>
          </w:p>
          <w:p>
            <w:pPr>
              <w:spacing w:before="0" w:after="120"/>
              <w:jc w:val="left"/>
            </w:pPr>
            <w:r>
              <w:rPr>
                <w:rFonts w:ascii="Aptos" w:hAnsi="Aptos"/>
                <w:b/>
                <w:color w:val="000000"/>
                <w:sz w:val="24"/>
              </w:rPr>
              <w:t>Linha defensiva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O prazo. O trabalho decorre desde julho de 2025 e a primeira versão consolidada foi remetida a 30 de junho de 2026. Linha defensiva: não se trata de compilação, mas de substituição de mais de duas dezenas de diplomas de épocas diferentes, com remissões cruzadas, feita em simultâneo com a execução dos avisos de apoio. A primeira versão existe, está entregue e tem revisão jurídica formal feita.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espera pelo Regulamento europeu. Pode ser invocado que se aguardou pelo texto europeu em vez de legislar. Linha defensiva: o Regulamento é de aplicação direta e altera matérias estruturantes — criação e reprodução, detenção responsável, funcionamento dos alojamentos e formação. Legislar antes do texto final obrigaria a rever o diploma logo a seguir. O trabalho de correspondência entre o projeto nacional e o texto europeu foi feito em paralelo e não parado.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sobrelotação dos centros de recolha oficial e dos alojamentos. Linha defensiva: é o problema que o RGAC visa atacar na raiz, pela detenção responsável e pela esterilização, e não apenas pela capacidade instalada. A resposta de capacidade corre pelos avisos de apoio, que estão em execução.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regime sancionatório. Haverá pressão em dois sentidos opostos — agravar as molduras e, do lado dos operadores, atenuar a carga. Linha defensiva: o critério é a exequibilidade. Uma sanção inaplicável ou que prescreva não protege nenhum animal.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lista positiva de animais de companhia. Matéria sensível junto dos operadores e dos detentores de espécies não tradicionais. Linha defensiva: o RGAC não fixa a lista; cria a habilitação normativa para a instituir, com base em evidência científica a levantar, acompanhando a tendência europeia.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articulação com os municípios. Linha defensiva: a repartição de competências é matéria a clarificar no diploma, e é precisamente uma das fragilidades que motivam a revisão.</w:t>
            </w:r>
          </w:p>
        </w:tc>
      </w:tr>
      <w:tr>
        <w:tc>
          <w:tcPr>
            <w:tcW w:type="dxa" w:w="2370"/>
            <w:shd w:val="clear" w:color="auto" w:fill="D9D9D9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Mensagens-chave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Toda a legislação respeitante a animais de companhia será revista e reformulada, com o objetivo de tornar mais eficazes a proteção do bem-estar animal, a detenção responsável e o controlo dos animais errantes.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RGAC reúne num único diploma o regime do bem-estar, da saúde e da identificação dos animais de companhia, hoje disperso por mais de duas dezenas de diplomas.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proposta está entregue. A primeira versão consolidada foi remetida à Secretaria de Estado a 30 de junho de 2026.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diploma é a base legal nacional de execução do Regulamento (UE) 2026/1818, cujas obrigações se tornam aplicáveis de forma faseada a partir de 31 de agosto de 2028.</w:t>
            </w:r>
          </w:p>
        </w:tc>
      </w:tr>
      <w:tr>
        <w:tc>
          <w:tcPr>
            <w:tcW w:type="dxa" w:w="2370"/>
            <w:shd w:val="clear" w:color="auto" w:fill="D9D9D9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Contexto e caracterização do setor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A legislação atual respeitante a animais de companhia encontra-se muito dispersa e, em alguns pontos, desatualizada.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realidade atual enfrenta diversos desafios: o número de animais errantes, a sobrelotação dos alojamentos, designadamente dos centros de recolha oficial e das instalações de alojamento zoófilo, a sensibilização para a detenção responsável, com foco na promoção da esterilização e na prevenção do abandono, e a necessidade de reforço da fiscalização.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consolidação normativa abrangerá toda a legislação em vigor, em correspondência com o Regulamento (UE) 2026/1818.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Regulamento (UE) 2026/1818 tem 7 capítulos, 33 artigos e 3 anexos. Entrou em vigor no vigésimo dia seguinte ao da publicação e é aplicável a partir de 31 de agosto de 2028, com datas diferidas fixadas no seu artigo 33.º, que vão de 31 de agosto de 2029 a 1 de julho de 2036 consoante a obrigação. Esta calendarização condiciona o faseamento que o RGAC tem de prever.</w:t>
            </w:r>
          </w:p>
        </w:tc>
      </w:tr>
      <w:tr>
        <w:tc>
          <w:tcPr>
            <w:tcW w:type="dxa" w:w="2370"/>
            <w:shd w:val="clear" w:color="auto" w:fill="D0CECE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Ações em curso /</w:t>
            </w:r>
          </w:p>
          <w:p>
            <w:pPr>
              <w:spacing w:before="0" w:after="120"/>
              <w:jc w:val="left"/>
            </w:pPr>
            <w:r>
              <w:rPr>
                <w:rFonts w:ascii="Aptos" w:hAnsi="Aptos"/>
                <w:b/>
                <w:color w:val="000000"/>
                <w:sz w:val="24"/>
              </w:rPr>
              <w:t>Medidas adotadas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Elaboração da proposta de revisão da legislação de bem-estar, identificação e saúde dos animais de companhia, assente na análise sistemática de mais de duas dezenas de diplomas conexos.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Correspondência entre o Regulamento (UE) 2026/1818 e os diplomas nacionais vigentes, incluindo os projetos preexistentes, designadamente o Código do Animal de Companhia e a proposta de Regime Geral do Bem-Estar dos Animais de Companhia, apresentada em 2024 e 2025.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30 de junho de 2026 foi remetida à Secretaria de Estado a primeira versão do RGAC, elaborada pela DGAV. O documento resultou de trabalho técnico desenvolvido por uma equipa multidisciplinar e assentou na análise e consolidação da legislação nacional em vigor, de propostas legislativas anteriores e do texto europeu então em preparação.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Foram considerados os contributos recebidos de entidades externas, designadamente da ANVETEM, da Ordem dos Médicos Veterinários e do Sindicato Nacional dos Médicos Veterinários. Não foram recebidos contributos da FEDRA nem do CPC.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versão remetida foi objeto de primeira revisão jurídica formal, incidente sobre a estrutura do diploma, a revisão parcial do articulado, a elaboração do regime contraordenacional e a proposta de preâmbulo.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documento carece ainda de revisão jurídica global, designadamente quanto às remissões internas do articulado e aos anexos de natureza técnica, bem como da validação de aspetos identificados durante a revisão efetuada.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Sem prejuízo destes aspetos, o documento constitui base sólida para apreciação superior, refletindo uma proposta integrada que visa reunir, num único diploma, o regime aplicável ao bem-estar, à saúde e à identificação dos animais de companhia.</w:t>
            </w:r>
          </w:p>
        </w:tc>
      </w:tr>
      <w:tr>
        <w:tc>
          <w:tcPr>
            <w:tcW w:type="dxa" w:w="2370"/>
            <w:shd w:val="clear" w:color="auto" w:fill="D0CECE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Prioridades futuras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Consolidação da proposta com as conclusões da análise comparativa.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Análise de impacto normativo, com avaliação dos efeitos esperados na população animal, nos operadores económicos e nas autoridades competentes.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Alinhamento com o texto final do Regulamento (UE) 2026/1818, publicado a 10 de agosto de 2026, incluindo o faseamento das obrigações previsto no seu artigo 33.º.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Articulação com as entidades intervenientes: municípios, médicos veterinários e operadores.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Revisão jurídica global do articulado, das remissões internas e dos anexos técnicos.</w:t>
            </w:r>
          </w:p>
        </w:tc>
      </w:tr>
      <w:tr>
        <w:tc>
          <w:tcPr>
            <w:tcW w:type="dxa" w:w="2370"/>
            <w:shd w:val="clear" w:color="auto" w:fill="D0CECE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Matérias com impacto:</w:t>
            </w:r>
          </w:p>
          <w:p>
            <w:pPr>
              <w:spacing w:before="0" w:after="120"/>
              <w:jc w:val="left"/>
            </w:pPr>
            <w:r>
              <w:rPr>
                <w:rFonts w:ascii="Aptos" w:hAnsi="Aptos"/>
                <w:b/>
                <w:color w:val="000000"/>
                <w:sz w:val="24"/>
              </w:rPr>
              <w:t>Político /</w:t>
            </w:r>
          </w:p>
          <w:p>
            <w:pPr>
              <w:spacing w:before="0" w:after="120"/>
              <w:jc w:val="left"/>
            </w:pPr>
            <w:r>
              <w:rPr>
                <w:rFonts w:ascii="Aptos" w:hAnsi="Aptos"/>
                <w:b/>
                <w:color w:val="000000"/>
                <w:sz w:val="24"/>
              </w:rPr>
              <w:t>Parlamentar /</w:t>
            </w:r>
          </w:p>
          <w:p>
            <w:pPr>
              <w:spacing w:before="0" w:after="120"/>
              <w:jc w:val="left"/>
            </w:pPr>
            <w:r>
              <w:rPr>
                <w:rFonts w:ascii="Aptos" w:hAnsi="Aptos"/>
                <w:b/>
                <w:color w:val="000000"/>
                <w:sz w:val="24"/>
              </w:rPr>
              <w:t>Mediático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Consolidação normativa: criação da base legal nacional para a execução do regulamento comunitário sobre o bem-estar e a rastreabilidade de cães e gatos.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Regulação técnica e científica: estabelecimento de normas de saúde, bem-estar e identificação animal, fundamentadas no conhecimento científico e técnico multidisciplinar.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Gestão de populações: resposta aos desafios de bem-estar e implementação de uma estratégia integrada para a gestão de animais errantes.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Abordagem One Health: interligação entre saúde animal, bem-estar e identificação eletrónica como pilares do conceito de Saúde Única.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Políticas públicas integradas: definição e execução de estratégias transversais no âmbito dos animais de companhia.</w:t>
            </w:r>
          </w:p>
        </w:tc>
      </w:tr>
      <w:tr>
        <w:tc>
          <w:tcPr>
            <w:tcW w:type="dxa" w:w="2370"/>
            <w:shd w:val="clear" w:color="auto" w:fill="D0CECE"/>
          </w:tcPr>
          <w:p>
            <w:pPr>
              <w:spacing w:before="0" w:after="120"/>
              <w:jc w:val="left"/>
            </w:pPr>
            <w:r/>
            <w:r>
              <w:rPr>
                <w:rFonts w:ascii="Aptos" w:hAnsi="Aptos"/>
                <w:b/>
                <w:color w:val="000000"/>
                <w:sz w:val="24"/>
              </w:rPr>
              <w:t>Riscos /</w:t>
            </w:r>
          </w:p>
          <w:p>
            <w:pPr>
              <w:spacing w:before="0" w:after="120"/>
              <w:jc w:val="left"/>
            </w:pPr>
            <w:r>
              <w:rPr>
                <w:rFonts w:ascii="Aptos" w:hAnsi="Aptos"/>
                <w:b/>
                <w:color w:val="000000"/>
                <w:sz w:val="24"/>
              </w:rPr>
              <w:t>Constrangimentos</w:t>
            </w:r>
          </w:p>
        </w:tc>
        <w:tc>
          <w:tcPr>
            <w:tcW w:type="dxa" w:w="6134"/>
          </w:tcPr>
          <w:p>
            <w:pPr>
              <w:spacing w:before="0" w:after="120"/>
              <w:jc w:val="both"/>
            </w:pPr>
            <w:r/>
            <w:r>
              <w:rPr>
                <w:b w:val="0"/>
                <w:color w:val="000000"/>
                <w:sz w:val="22"/>
              </w:rPr>
              <w:t>Dispersão normativa. O processo é complexo e multidisciplinar, envolvendo a compatibilização de diplomas de épocas diferentes, com remissões cruzadas e regimes específicos, a par do alinhamento com normas europeias de aplicação direta. A morosidade reflete a necessidade de um trabalho estruturado, que garanta coerência jurídica e técnica e evite sobreposições ou contradições.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Atualização permanente da análise, por forma a integrar as alterações ao texto europeu e garantir o alinhamento com a redação final.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O Regulamento (UE) 2026/1818 introduz normas que modificam significativamente a legislação portuguesa, designadamente quanto às regras de criação e reprodução animal, à detenção responsável, ao funcionamento dos alojamentos e à formação. O novo regime terá de ir além da compilação legislativa, devendo prever e concretizar as normas europeias.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aplicação de um paradigma atualizado de proteção animal é compatível com o objetivo do RGAC, mas a sua implementação exige ponderação e planeamento, acautelando o equilíbrio entre um quadro regulamentar mais exigente e a salvaguarda dos seus destinatários finais. A formulação do RGAC deverá prever a sua exequibilidade, de modo a prevenir o agravamento das situações que comprometem o bem-estar dos animais ou a sobrecarga de serviços que operam já no limite da sua capacidade instalada.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Torna-se imperativo prever um regime sancionatório adequado, de natureza inequivocamente dissuasora mas exequível, obstando ao risco de prescrição procedimental e garantindo a efetividade da proteção animal.</w:t>
            </w:r>
          </w:p>
          <w:p>
            <w:pPr>
              <w:spacing w:before="0" w:after="120"/>
              <w:jc w:val="both"/>
            </w:pPr>
            <w:r>
              <w:rPr>
                <w:b w:val="0"/>
                <w:color w:val="000000"/>
                <w:sz w:val="22"/>
              </w:rPr>
              <w:t>A reforma transcende a esfera dos canídeos e felídeos, abrangendo a diversidade de espécies detidas como animais de companhia. A evidência atual alerta para a inaptidão de certas espécies para a detenção enquanto animais de companhia. A revisão deverá prever a disponibilidade de meios para o levantamento da evidência científica e a habilitação normativa necessária para acompanhar a tendência europeia de instituição de uma lista positiva de animais de companhia.</w:t>
            </w:r>
          </w:p>
        </w:tc>
      </w:tr>
    </w:tbl>
    <w:sectPr w:rsidR="00FC693F" w:rsidRPr="0006063C" w:rsidSect="00034616">
      <w:pgSz w:w="11906" w:h="16838"/>
      <w:pgMar w:top="2409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