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Resposta — Figura do «criador informal» no âmbito do RGAC</w:t>
      </w:r>
    </w:p>
    <w:p>
      <w:pPr>
        <w:jc w:val="both"/>
      </w:pPr>
      <w:r>
        <w:rPr>
          <w:b w:val="0"/>
          <w:i/>
        </w:rPr>
        <w:t>Enquadramento: resposta à pergunta formulada na sequência da notícia publicada no Jornal de Notícias, de 13 de julho de 2026, relativa à eventual criação da figura do «criador informal» e das críticas formuladas quanto à sua alegada incompatibilidade com o futuro Regulamento Europeu relativo ao bem-estar dos cães e gatos e à respetiva rastreabilidade.</w:t>
      </w:r>
    </w:p>
    <w:p>
      <w:r>
        <w:rPr>
          <w:b/>
          <w:sz w:val="26"/>
        </w:rPr>
        <w:t>1. «Se a criação da figura do "criador informal" se encontra efetivamente prevista ou em ponderação no âmbito dos trabalhos de elaboração do Regime Geral do Animal de Companhia (RGAC)»</w:t>
      </w:r>
    </w:p>
    <w:p>
      <w:pPr>
        <w:jc w:val="both"/>
      </w:pPr>
      <w:r>
        <w:rPr>
          <w:b w:val="0"/>
          <w:i w:val="0"/>
        </w:rPr>
        <w:t>Resposta sucinta: Não está prevista a criação de uma figura de «criador informal», uma vez que todos os criadores continuarão sujeitos à obrigatoriedade de registo junto da autoridade competente. Ponderou-se a possibilidade de isentar os criadores de escala reduzida de determinados requisitos de instalações — designadamente das instalações individualizadas previstas nos n.ºs 1 e 2 do artigo 25.º do Decreto-Lei n.º 276/2001, de 17 de outubro. Esta ponderação não consta, contudo, da versão mais recente do projeto de RGAC.</w:t>
      </w:r>
    </w:p>
    <w:p>
      <w:r>
        <w:rPr>
          <w:b/>
          <w:sz w:val="26"/>
        </w:rPr>
        <w:t>2. Em caso afirmativo:</w:t>
      </w:r>
    </w:p>
    <w:p>
      <w:r>
        <w:rPr>
          <w:b/>
          <w:sz w:val="24"/>
        </w:rPr>
        <w:t>a) Qual o enquadramento e objetivos subjacentes à sua criação</w:t>
      </w:r>
    </w:p>
    <w:p>
      <w:pPr>
        <w:jc w:val="both"/>
      </w:pPr>
      <w:r>
        <w:rPr>
          <w:b w:val="0"/>
          <w:i w:val="0"/>
        </w:rPr>
        <w:t>A ponderação em curso visa adequar os requisitos de instalações — hoje pensados para estabelecimentos de tipo profissional — à criação de pequena escala em ambiente familiar, realidade que já existe e que importa trazer integralmente para o quadro regulado. O objetivo é duplo: afastar o modelo de criação intensiva com baixos padrões de bem-estar (puppy mills) e eliminar o incentivo à clandestinidade, garantindo que todos os criadores, independentemente da escala, se registam junto da autoridade competente e ficam sujeitos a fiscalização. Não se cria qualquer estatuto de informalidade: o registo, a identificação e a rastreabilidade mantêm-se universais.</w:t>
      </w:r>
    </w:p>
    <w:p>
      <w:r>
        <w:rPr>
          <w:b/>
          <w:sz w:val="24"/>
        </w:rPr>
        <w:t>b) Quais os critérios previstos para a sua delimitação face às figuras atualmente existentes (mera comunicação prévia e permissão administrativa)</w:t>
      </w:r>
    </w:p>
    <w:p>
      <w:pPr>
        <w:jc w:val="both"/>
      </w:pPr>
      <w:r>
        <w:rPr>
          <w:b w:val="0"/>
          <w:i w:val="0"/>
        </w:rPr>
        <w:t>Não é criada qualquer terceira figura. As figuras de acesso à atividade mantêm-se — mera comunicação prévia e permissão administrativa — e a eventual diferenciação em ponderação operaria dentro da mera comunicação prévia, exclusivamente ao nível dos requisitos de instalações, proporcionados à escala da atividade.</w:t>
      </w:r>
    </w:p>
    <w:p>
      <w:pPr>
        <w:jc w:val="both"/>
      </w:pPr>
      <w:r>
        <w:rPr>
          <w:b w:val="0"/>
          <w:i w:val="0"/>
        </w:rPr>
        <w:t>Assinala-se, aliás, que o projeto de RGAC já gradua o acesso à atividade em função da escala, reservando a permissão administrativa para os estabelecimentos que produzam, ou tencionem produzir, mais de cinco ninhadas por ano civil, ou que detenham, a qualquer momento, mais de cinco cadelas ou gatas reprodutoras — em decalque direto do artigo 10.º do Regulamento. A graduação por escala não é, pois, uma criação nacional: existe no próprio Regulamento (artigos 5.º e 10.º).</w:t>
      </w:r>
    </w:p>
    <w:p>
      <w:r>
        <w:rPr>
          <w:b/>
          <w:sz w:val="24"/>
        </w:rPr>
        <w:t>c) Em que medida se considera que esta solução é compatível com o futuro Regulamento Europeu relativo ao bem-estar dos cães e gatos e à respetiva rastreabilidade</w:t>
      </w:r>
    </w:p>
    <w:p>
      <w:pPr>
        <w:jc w:val="both"/>
      </w:pPr>
      <w:r>
        <w:rPr>
          <w:b w:val="0"/>
          <w:i w:val="0"/>
        </w:rPr>
        <w:t>Face ao exposto, e caso venha a concretizar-se, esta ponderação surge enquadrada num conjunto de propostas de revisão legislativa que aplica o Regulamento na sua completude e, ocasionalmente, apresenta regras nacionais mais restritivas, na aceção e ao abrigo do artigo 30.º do Regulamento, destinadas a assegurar uma proteção mais ampla do bem-estar dos cães e gatos e uma maior rastreabilidade — e nunca o seu contrário —, as quais serão comunicadas à Comissão Europeia nos termos do n.º 2 do mesmo artigo.</w:t>
      </w:r>
    </w:p>
    <w:p>
      <w:pPr>
        <w:jc w:val="both"/>
      </w:pPr>
      <w:r>
        <w:rPr>
          <w:b w:val="0"/>
          <w:i w:val="0"/>
        </w:rPr>
        <w:t>Cumpre notar que o próprio Regulamento gradua as obrigações em função da escala — isentando parcialmente os estabelecimentos que não produzam mais de duas ninhadas por ano (artigo 5.º, n.º 1) e prevendo um regime simplificado para as transmissões ocasionais por pessoas singulares (artigo 15.º, n.º 4) — sem que em nenhum destes patamares dispense o registo ou a rastreabilidade. A orientação desta Direção-Geral é mais exigente do que esse mínimo europeu: manter a obrigação de registo junto da autoridade competente para todos os criadores, seja qual for a escala ou a regularidade da atividade. A proposta em reflexão é, portanto, não só compatível com o Regulamento, como vai além dele no plano da rastreabilidade.</w:t>
      </w:r>
    </w:p>
    <w:p>
      <w:r>
        <w:rPr>
          <w:b/>
          <w:sz w:val="26"/>
        </w:rPr>
        <w:t>Análise estendida</w:t>
      </w:r>
    </w:p>
    <w:p>
      <w:pPr>
        <w:jc w:val="both"/>
      </w:pPr>
      <w:r>
        <w:rPr>
          <w:b w:val="0"/>
          <w:i w:val="0"/>
        </w:rPr>
        <w:t>No âmbito da elaboração do RGAC esta figura não foi aventada, nem qualquer outra que se traduza na exclusão do criador de animais de companhia da obrigação de registo junto da autoridade competente. Não se prevê, portanto, informalidade.</w:t>
      </w:r>
    </w:p>
    <w:p>
      <w:pPr>
        <w:jc w:val="both"/>
      </w:pPr>
      <w:r>
        <w:rPr>
          <w:b w:val="0"/>
          <w:i w:val="0"/>
        </w:rPr>
        <w:t>Ponderou-se, e está em discussão, a isenção de determinados requisitos aplicáveis a criadores de animais de companhia que exerçam a sua atividade até um determinado número limite de animais.</w:t>
      </w:r>
    </w:p>
    <w:p>
      <w:pPr>
        <w:jc w:val="both"/>
      </w:pPr>
      <w:r>
        <w:rPr>
          <w:b w:val="0"/>
          <w:i w:val="0"/>
        </w:rPr>
        <w:t>Quais isenções? As que dizem respeito às instalações individualizadas atualmente exigidas pelo artigo 25.º do Decreto-Lei n.º 276/2001, de 17 de outubro: as instalações destinadas à armazenagem de alimentos e equipamento limpo e à lavagem e recolha de material (n.º 1) e, no caso dos alojamentos para reprodução/criação, as instalações individualizadas destinadas à maternidade e à criação até à idade adulta, à quarentena, à enfermaria, ao manuseamento de alimentos e à higienização dos animais (n.º 2). Estando este conceito ainda em análise, esta não é naturalmente uma lista fechada.</w:t>
      </w:r>
    </w:p>
    <w:p>
      <w:pPr>
        <w:jc w:val="both"/>
      </w:pPr>
      <w:r>
        <w:rPr>
          <w:b w:val="0"/>
          <w:i w:val="0"/>
        </w:rPr>
        <w:t>Qual é o objetivo desta isenção? Proporcionar um quadro legislativo mais adequado à atividade de criação de animais de companhia em escala reduzida e inserida no ambiente familiar. Trata-se, portanto, de uma proposta que se afasta precisamente dos fenómenos de criação intensiva e com baixos padrões de bem-estar animal — as vulgarmente denominadas puppy mills, elencadas no exemplo do artigo da comunicação social.</w:t>
      </w:r>
    </w:p>
    <w:p>
      <w:pPr>
        <w:jc w:val="both"/>
      </w:pPr>
      <w:r>
        <w:rPr>
          <w:b w:val="0"/>
          <w:i w:val="0"/>
        </w:rPr>
        <w:t>Qual seria o número limite de animais? Não se encontra ainda definido. Pondera-se a articulação com o número máximo de cães e gatos adultos definido para o fogo habitacional; recomenda-se, contudo, que o limiar seja fixado pelas variáveis que medem a intensidade reprodutiva — número de ninhadas por ano civil e número de fêmeas reprodutoras —, em alinhamento com os limiares do próprio Regulamento (artigos 5.º e 10.º), reservando o limite por fogo como teto de detenção que já resulta da lei geral.</w:t>
      </w:r>
    </w:p>
    <w:p>
      <w:pPr>
        <w:jc w:val="both"/>
      </w:pPr>
      <w:r>
        <w:rPr>
          <w:i/>
          <w:color w:val="804000"/>
        </w:rPr>
        <w:t>[Nota interna: o conceito de «fogo» (artigo 3.º do Decreto-Lei n.º 314/2003) é um conceito de detenção doméstica, lido pela jurisprudência e pela doutrina como norma de vizinhança e de luta contra as zoonoses; o número de adultos não mede a intensidade reprodutiva — quatro machos castrados não produzem ninhadas, duas fêmeas reprodutoras podem produzir quatro por ano. Ancorar o limiar nas ninhadas/ano e nas fêmeas reprodutoras evita importar para o novo regime esta fragilidade.]</w:t>
      </w:r>
    </w:p>
    <w:p>
      <w:pPr>
        <w:jc w:val="both"/>
      </w:pPr>
      <w:r>
        <w:rPr>
          <w:b w:val="0"/>
          <w:i w:val="0"/>
        </w:rPr>
        <w:t>Porquê um limite de escala doméstica? Porque se entende precisamente que esta criação deve ocorrer em ambiente doméstico, e não de cariz industrial, onde os animais são muitas vezes reproduzidos e criados com escasso contacto com seres humanos — realidade que se pretende evitar, a fim de promover o bem-estar e os comportamentos adequados ao destino de um animal de companhia, que é o de estar num lar, em contacto próximo com os seus detentores.</w:t>
      </w:r>
    </w:p>
    <w:p>
      <w:r>
        <w:rPr>
          <w:b/>
          <w:sz w:val="26"/>
        </w:rPr>
        <w:t>Mais contexto</w:t>
      </w:r>
    </w:p>
    <w:p>
      <w:pPr>
        <w:jc w:val="both"/>
      </w:pPr>
      <w:r>
        <w:rPr>
          <w:b w:val="0"/>
          <w:i w:val="0"/>
        </w:rPr>
        <w:t>O registo junto da DGAV através da mera comunicação prévia ou da permissão administrativa manter-se-á para todos os criadores. Não se prevê informalidade da atividade: qualquer criador continuará sujeito à declaração da sua atividade junto da autoridade competente, garantindo assim que a atividade permanecerá identificada e sujeita a ações de fiscalização, em sede das quais se verifica o cumprimento integral dos requisitos de bem-estar animal e higiossanitários aplicáveis.</w:t>
      </w:r>
    </w:p>
    <w:p>
      <w:pPr>
        <w:jc w:val="both"/>
      </w:pPr>
      <w:r>
        <w:rPr>
          <w:b w:val="0"/>
          <w:i w:val="0"/>
        </w:rPr>
        <w:t>Entende-se assim estar garantida a essência de uma atividade regulada e controlada — portanto, formal.</w:t>
      </w:r>
    </w:p>
    <w:p>
      <w:pPr>
        <w:jc w:val="both"/>
      </w:pPr>
      <w:r>
        <w:rPr>
          <w:b w:val="0"/>
          <w:i w:val="0"/>
        </w:rPr>
        <w:t>Esta ponderação insere-se num pacote de revisão legislativa acompanhado de propostas que reforçam o controlo da reprodução dos animais de companhia, pilar fundamental que tem sido publicamente apoiado por esta Direção-Geral, designadamente:</w:t>
      </w:r>
    </w:p>
    <w:p>
      <w:pPr>
        <w:pStyle w:val="ListBullet"/>
        <w:jc w:val="both"/>
      </w:pPr>
      <w:r>
        <w:t>O abandono do critério dos fins lucrativos para o registo como criador: qualquer criador, com ou sem fins lucrativos, deverá registar-se;</w:t>
      </w:r>
    </w:p>
    <w:p>
      <w:pPr>
        <w:pStyle w:val="ListBullet"/>
        <w:jc w:val="both"/>
      </w:pPr>
      <w:r>
        <w:t>A identificação obrigatória das crias até aos três meses de idade e sempre antes de saírem do local de nascimento, com registo no SIAC em nome do operador do estabelecimento — assegurando o rastreio de todos os animais até à sua origem;</w:t>
      </w:r>
    </w:p>
    <w:p>
      <w:pPr>
        <w:pStyle w:val="ListBullet"/>
        <w:jc w:val="both"/>
      </w:pPr>
      <w:r>
        <w:t>A declaração, na mera comunicação prévia, do número estimado de ninhadas a colocar no mercado por ano;</w:t>
      </w:r>
    </w:p>
    <w:p>
      <w:pPr>
        <w:pStyle w:val="ListBullet"/>
        <w:jc w:val="both"/>
      </w:pPr>
      <w:r>
        <w:t>A ficha de verificação única obrigatória nos anúncios em linha, permitindo ao adquirente confirmar a autenticidade da identificação, do registo e da propriedade do animal anunciado;</w:t>
      </w:r>
    </w:p>
    <w:p>
      <w:pPr>
        <w:pStyle w:val="ListBullet"/>
        <w:jc w:val="both"/>
      </w:pPr>
      <w:r>
        <w:t>O acesso dos municípios e das juntas de freguesia ao SIAC para monitorização do número de animais de companhia por habitação;</w:t>
      </w:r>
    </w:p>
    <w:p>
      <w:pPr>
        <w:pStyle w:val="ListBullet"/>
        <w:jc w:val="both"/>
      </w:pPr>
      <w:r>
        <w:t>A obrigatoriedade de esterilização, a partir de 2030, dos cães e gatos não destinados à reprodução.</w:t>
      </w:r>
    </w:p>
    <w:p>
      <w:pPr>
        <w:jc w:val="both"/>
      </w:pPr>
      <w:r>
        <w:rPr>
          <w:i/>
          <w:color w:val="804000"/>
        </w:rPr>
        <w:t>[Nota interna: se se pretender afirmar a obrigatoriedade do registo da ninhada enquanto evento (comunicação do nascimento ao SIAC, com identificação da fêmea reprodutora), essa obrigação autónoma deve ser inscrita no articulado do RGAC — na versão atual, a rastreabilidade assenta na identificação individual das crias antes da saída do local de nascimento.]</w:t>
      </w:r>
    </w:p>
    <w:p>
      <w:pPr>
        <w:jc w:val="both"/>
      </w:pPr>
      <w:r>
        <w:rPr>
          <w:b w:val="0"/>
          <w:i w:val="0"/>
        </w:rPr>
        <w:t>Cumpre ainda notar que o próprio Regulamento contempla regimes de proporcionalidade — a isenção parcial para estabelecimentos que não produzam mais de duas ninhadas por ano (artigo 5.º, n.º 1) e o regime das transmissões ocasionais por pessoas singulares (artigo 15.º, n.º 4) — mantendo, em ambos, a obrigação de registo do estabelecimento e o registo da transferência na base de dados, respetivamente. Não existe, portanto, informalidade em nenhum patamar, europeu ou nacional: a orientação desta Direção-Geral, mais exigente do que o mínimo europeu, é a de manter o registo obrigatório para todos os criadores, ao abrigo do artigo 30.º do Regulamento («Regras nacionais mais restritivas»), com comunicação à Comissão Europeia nos termos do n.º 2 do mesmo artigo.</w:t>
      </w:r>
    </w:p>
    <w:p>
      <w:r>
        <w:rPr>
          <w:b/>
          <w:sz w:val="26"/>
        </w:rPr>
        <w:t>Fragilidades e argumentos</w:t>
      </w:r>
    </w:p>
    <w:p>
      <w:pPr>
        <w:jc w:val="both"/>
      </w:pPr>
      <w:r>
        <w:rPr>
          <w:b/>
          <w:i w:val="0"/>
        </w:rPr>
        <w:t>1. Este regime é um facilitismo ao início da atividade?</w:t>
      </w:r>
    </w:p>
    <w:p>
      <w:pPr>
        <w:jc w:val="both"/>
      </w:pPr>
      <w:r>
        <w:rPr>
          <w:b w:val="0"/>
          <w:i w:val="0"/>
        </w:rPr>
        <w:t>Uma vez que os requisitos de instalações obrigatórias seriam aligeirados, naturalmente pode ser entendido que se facilita o início de atividade nos casos aplicáveis. Argumento: entende-se que esta atividade já existe — seja na forma de criadores ocasionais que cruzam, intencionalmente ou não, os seus animais de forma não regular e estruturada, seja na de quem o faz sem fins comerciais declarados. O que se pretende com esta proposta é trazer os últimos para a obrigatoriedade de registo e, simultaneamente, adaptar a legislação à criação de animais em ambiente doméstico na forma dos primeiros. O acesso facilitado é ao registo — não à opacidade.</w:t>
      </w:r>
    </w:p>
    <w:p>
      <w:pPr>
        <w:jc w:val="both"/>
      </w:pPr>
      <w:r>
        <w:rPr>
          <w:b/>
          <w:i w:val="0"/>
        </w:rPr>
        <w:t>2. Como evitar deturpações desta isenção?</w:t>
      </w:r>
    </w:p>
    <w:p>
      <w:pPr>
        <w:jc w:val="both"/>
      </w:pPr>
      <w:r>
        <w:rPr>
          <w:b w:val="0"/>
          <w:i w:val="0"/>
        </w:rPr>
        <w:t>Argumento: este regime é um pacote de alterações legislativas que se complementam e, naturalmente, algumas destas alterações só serão viáveis se acompanhadas de outras que incrementam as camadas de fiscalização — designadamente as elencadas acima: identificação obrigatória antes da saída do local de nascimento, declaração do número de ninhadas, verificação da autenticidade dos anúncios em linha e monitorização do número de animais por habitação —, que tornam a atividade rastreável em cada nascimento e em cada transmissão.</w:t>
      </w:r>
    </w:p>
    <w:p>
      <w:pPr>
        <w:jc w:val="both"/>
      </w:pPr>
      <w:r>
        <w:rPr>
          <w:b/>
          <w:i w:val="0"/>
        </w:rPr>
        <w:t>3. A designação «criador informal» é, ela própria, o problema.</w:t>
      </w:r>
    </w:p>
    <w:p>
      <w:pPr>
        <w:jc w:val="both"/>
      </w:pPr>
      <w:r>
        <w:rPr>
          <w:b w:val="0"/>
          <w:i w:val="0"/>
        </w:rPr>
        <w:t>O rótulo sugere ausência de registo — foi essa a leitura da notícia e das críticas subsequentes. Argumento: o regime ponderado é formal em tudo o que releva (registo, identificação, rastreabilidade e fiscalização); apenas proporciona os requisitos de instalações à escala doméstica. Recomenda-se abandonar a designação em toda a comunicação, substituindo-a por «criação em ambiente familiar» ou «regime simplificado de criação de pequena escala» — designações que descrevem o conteúdo real do regime e retiram a palavra «informal» do debate.</w:t>
      </w:r>
    </w:p>
    <w:p>
      <w:pPr>
        <w:jc w:val="both"/>
      </w:pPr>
      <w:r>
        <w:rPr>
          <w:b/>
          <w:i w:val="0"/>
        </w:rPr>
        <w:t>4. Risco de fracionamento (elisão do limiar).</w:t>
      </w:r>
    </w:p>
    <w:p>
      <w:pPr>
        <w:jc w:val="both"/>
      </w:pPr>
      <w:r>
        <w:rPr>
          <w:b w:val="0"/>
          <w:i w:val="0"/>
        </w:rPr>
        <w:t>Poderá objetar-se que um criador de maior dimensão contornaria o limiar distribuindo os animais por membros do agregado familiar ou por vários fogos. Argumento: o limiar deve aferir-se por fogo ou local de alojamento, e não por titular; o acesso dos municípios e das juntas de freguesia ao SIAC para monitorização do número de animais por habitação, cruzado com as fêmeas reprodutoras registadas e as ninhadas declaradas, torna o fracionamento detetável — e a ultrapassagem do limiar reclassifica automaticamente a atividade no regime de permissão administrativa.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